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r>
        <w:rPr>
          <w:rFonts w:hint="eastAsia" w:ascii="方正小标宋_GBK" w:eastAsia="方正小标宋_GBK"/>
          <w:sz w:val="44"/>
          <w:szCs w:val="44"/>
        </w:rPr>
        <w:t>北京市丰台区人民政府马家堡街道办事处2019年政府信息公开年度报告</w:t>
      </w:r>
    </w:p>
    <w:p>
      <w:pPr>
        <w:jc w:val="center"/>
        <w:rPr>
          <w:rFonts w:ascii="方正小标宋_GBK" w:eastAsia="方正小标宋_GBK"/>
          <w:sz w:val="44"/>
          <w:szCs w:val="44"/>
        </w:rPr>
      </w:pPr>
    </w:p>
    <w:p>
      <w:pPr>
        <w:ind w:firstLine="600" w:firstLineChars="200"/>
        <w:rPr>
          <w:rFonts w:ascii="仿宋" w:hAnsi="仿宋" w:eastAsia="仿宋"/>
          <w:sz w:val="30"/>
          <w:szCs w:val="30"/>
        </w:rPr>
      </w:pPr>
      <w:r>
        <w:rPr>
          <w:rFonts w:hint="eastAsia" w:ascii="仿宋" w:hAnsi="仿宋" w:eastAsia="仿宋"/>
          <w:sz w:val="30"/>
          <w:szCs w:val="30"/>
        </w:rPr>
        <w:t>依据《中华人民共和国政府信息公开条例》第五十条之规定，制作本报告。</w:t>
      </w:r>
    </w:p>
    <w:p>
      <w:pPr>
        <w:rPr>
          <w:rFonts w:ascii="仿宋" w:hAnsi="仿宋" w:eastAsia="仿宋"/>
          <w:sz w:val="30"/>
          <w:szCs w:val="30"/>
        </w:rPr>
      </w:pPr>
      <w:r>
        <w:rPr>
          <w:rFonts w:hint="eastAsia" w:ascii="仿宋" w:hAnsi="仿宋" w:eastAsia="仿宋"/>
          <w:sz w:val="30"/>
          <w:szCs w:val="30"/>
        </w:rPr>
        <w:t>一、总体情况</w:t>
      </w:r>
    </w:p>
    <w:p>
      <w:pPr>
        <w:ind w:firstLine="600" w:firstLineChars="200"/>
        <w:rPr>
          <w:rFonts w:ascii="仿宋" w:hAnsi="仿宋" w:eastAsia="仿宋"/>
          <w:sz w:val="30"/>
          <w:szCs w:val="30"/>
        </w:rPr>
      </w:pPr>
      <w:r>
        <w:rPr>
          <w:rFonts w:hint="eastAsia" w:ascii="仿宋" w:hAnsi="仿宋" w:eastAsia="仿宋"/>
          <w:sz w:val="30"/>
          <w:szCs w:val="30"/>
        </w:rPr>
        <w:t>（一）主动公开情况</w:t>
      </w:r>
    </w:p>
    <w:p>
      <w:pPr>
        <w:ind w:firstLine="600" w:firstLineChars="200"/>
        <w:rPr>
          <w:rFonts w:ascii="仿宋" w:hAnsi="仿宋" w:eastAsia="仿宋"/>
          <w:sz w:val="30"/>
          <w:szCs w:val="30"/>
        </w:rPr>
      </w:pPr>
      <w:r>
        <w:rPr>
          <w:rFonts w:hint="eastAsia" w:ascii="仿宋" w:hAnsi="仿宋" w:eastAsia="仿宋"/>
          <w:sz w:val="30"/>
          <w:szCs w:val="30"/>
        </w:rPr>
        <w:t>我街道在政府网站公开专栏等载体及时进行了政府信息发布和更新，共发布政府信息 191条。按照“合法、全面、准确、及时”的要求，规范做好网站信息添加更新工作。坚持街道的工作动态、最新政策法规等一系列相关信息的及时更新，对公开目录、公开指南、已公开的政府信息发生变化或失效时及时更新。</w:t>
      </w:r>
    </w:p>
    <w:p>
      <w:pPr>
        <w:ind w:firstLine="600" w:firstLineChars="200"/>
        <w:rPr>
          <w:rFonts w:ascii="仿宋" w:hAnsi="仿宋" w:eastAsia="仿宋"/>
          <w:sz w:val="30"/>
          <w:szCs w:val="30"/>
        </w:rPr>
      </w:pPr>
      <w:r>
        <w:rPr>
          <w:rFonts w:hint="eastAsia" w:ascii="仿宋" w:hAnsi="仿宋" w:eastAsia="仿宋"/>
          <w:sz w:val="30"/>
          <w:szCs w:val="30"/>
        </w:rPr>
        <w:t>主动公开政府信息数量及类别。我街道主动公开政府信公共77条信息条，具体包括：领导信息、机构信息、服务事项、办事指南、统计数据等信息。</w:t>
      </w:r>
    </w:p>
    <w:p>
      <w:pPr>
        <w:ind w:firstLine="600" w:firstLineChars="200"/>
        <w:rPr>
          <w:rFonts w:ascii="仿宋" w:hAnsi="仿宋" w:eastAsia="仿宋"/>
          <w:sz w:val="30"/>
          <w:szCs w:val="30"/>
        </w:rPr>
      </w:pPr>
      <w:r>
        <w:rPr>
          <w:rFonts w:hint="eastAsia" w:ascii="仿宋" w:hAnsi="仿宋" w:eastAsia="仿宋"/>
          <w:sz w:val="30"/>
          <w:szCs w:val="30"/>
        </w:rPr>
        <w:t>政府信息公开方式及查阅情况。我街道通过宣传栏、马家堡微博、幸福马家堡微信公众号等公布政府信息。2019年，通过政府网站公开政府信息数 191条，通过政务微博公开政府信息数 1300条，通过政务微信公开政务信息数 259条。2019年，我街道全面主办人大代表建议件1件，会办政协提案件1件。</w:t>
      </w:r>
    </w:p>
    <w:p>
      <w:pPr>
        <w:ind w:firstLine="600" w:firstLineChars="200"/>
        <w:rPr>
          <w:rFonts w:ascii="仿宋" w:hAnsi="仿宋" w:eastAsia="仿宋"/>
          <w:sz w:val="30"/>
          <w:szCs w:val="30"/>
        </w:rPr>
      </w:pPr>
      <w:r>
        <w:rPr>
          <w:rFonts w:hint="eastAsia" w:ascii="仿宋" w:hAnsi="仿宋" w:eastAsia="仿宋"/>
          <w:sz w:val="30"/>
          <w:szCs w:val="30"/>
        </w:rPr>
        <w:t>（二）依申请公开办理情况</w:t>
      </w:r>
    </w:p>
    <w:p>
      <w:pPr>
        <w:ind w:firstLine="600" w:firstLineChars="200"/>
        <w:rPr>
          <w:rFonts w:ascii="仿宋" w:hAnsi="仿宋" w:eastAsia="仿宋"/>
          <w:sz w:val="30"/>
          <w:szCs w:val="30"/>
        </w:rPr>
      </w:pPr>
      <w:r>
        <w:rPr>
          <w:rFonts w:hint="eastAsia" w:ascii="仿宋" w:hAnsi="仿宋" w:eastAsia="仿宋"/>
          <w:sz w:val="30"/>
          <w:szCs w:val="30"/>
        </w:rPr>
        <w:t>除了面向全体社会公众的政府信息应该通过主动公开方式公开外，我街道依申请公开政府信息受理渠道畅通，全年受理依申请公开12件, 已答复12件，答复率100%，答复及时率100%。收费0元。</w:t>
      </w:r>
    </w:p>
    <w:p>
      <w:pPr>
        <w:ind w:firstLine="600" w:firstLineChars="200"/>
        <w:rPr>
          <w:rFonts w:ascii="仿宋" w:hAnsi="仿宋" w:eastAsia="仿宋"/>
          <w:sz w:val="30"/>
          <w:szCs w:val="30"/>
        </w:rPr>
      </w:pPr>
      <w:r>
        <w:rPr>
          <w:rFonts w:hint="eastAsia" w:ascii="仿宋" w:hAnsi="仿宋" w:eastAsia="仿宋"/>
          <w:sz w:val="30"/>
          <w:szCs w:val="30"/>
        </w:rPr>
        <w:t>（三）政府信息资源的规范化、标准化管理情况</w:t>
      </w:r>
    </w:p>
    <w:p>
      <w:pPr>
        <w:ind w:firstLine="600" w:firstLineChars="200"/>
        <w:rPr>
          <w:rFonts w:ascii="仿宋" w:hAnsi="仿宋" w:eastAsia="仿宋"/>
          <w:sz w:val="30"/>
          <w:szCs w:val="30"/>
        </w:rPr>
      </w:pPr>
      <w:r>
        <w:rPr>
          <w:rFonts w:hint="eastAsia" w:ascii="仿宋" w:hAnsi="仿宋" w:eastAsia="仿宋"/>
          <w:sz w:val="30"/>
          <w:szCs w:val="30"/>
        </w:rPr>
        <w:t>我街道严格落实市、区相关要求，在加强权力运行监督、公共服务供给、执法监督、政府绩效管理、电子政务等领域树立依法依标管理和服务意识，建设人民满意政府，我街道建立完善的政府信息资源管理制度，软件正版化覆盖率100%，由牵头部门总负责，相关部门分负责，各部门形成合力，共同推进政府信息资源的规范化、标准化工作进程。</w:t>
      </w:r>
    </w:p>
    <w:p>
      <w:pPr>
        <w:ind w:firstLine="600" w:firstLineChars="200"/>
        <w:rPr>
          <w:rFonts w:ascii="仿宋" w:hAnsi="仿宋" w:eastAsia="仿宋"/>
          <w:sz w:val="30"/>
          <w:szCs w:val="30"/>
        </w:rPr>
      </w:pPr>
      <w:r>
        <w:rPr>
          <w:rFonts w:hint="eastAsia" w:ascii="仿宋" w:hAnsi="仿宋" w:eastAsia="仿宋"/>
          <w:sz w:val="30"/>
          <w:szCs w:val="30"/>
        </w:rPr>
        <w:t>（四）政府信息公开平台建设情况</w:t>
      </w:r>
    </w:p>
    <w:p>
      <w:pPr>
        <w:ind w:firstLine="600" w:firstLineChars="200"/>
        <w:rPr>
          <w:rFonts w:ascii="仿宋" w:hAnsi="仿宋" w:eastAsia="仿宋"/>
          <w:sz w:val="30"/>
          <w:szCs w:val="30"/>
        </w:rPr>
      </w:pPr>
      <w:r>
        <w:rPr>
          <w:rFonts w:hint="eastAsia" w:ascii="仿宋" w:hAnsi="仿宋" w:eastAsia="仿宋"/>
          <w:sz w:val="30"/>
          <w:szCs w:val="30"/>
        </w:rPr>
        <w:t>按照《国务院办公厅政府信息与政务公开办公室关于规范政府信息公开平台有关事项的通知》，我街道依托北京市政府信息公开专栏网站平台，及时发布街道日常工作及活动动态。对照马家堡街道政府信息主动公开全清单公开条目，及时公布街道人事变动、规划计划、公共服务等信息，完善政府网站信息发布管理，建立健全信息发布机制，规范公开行为，细化完善政府信息公开审核、发布、监督评议、问责等工作流程，接受社会公众监督。</w:t>
      </w:r>
    </w:p>
    <w:p>
      <w:pPr>
        <w:ind w:firstLine="600" w:firstLineChars="200"/>
        <w:rPr>
          <w:rFonts w:ascii="仿宋" w:hAnsi="仿宋" w:eastAsia="仿宋"/>
          <w:sz w:val="30"/>
          <w:szCs w:val="30"/>
        </w:rPr>
      </w:pPr>
      <w:r>
        <w:rPr>
          <w:rFonts w:hint="eastAsia" w:ascii="仿宋" w:hAnsi="仿宋" w:eastAsia="仿宋"/>
          <w:sz w:val="30"/>
          <w:szCs w:val="30"/>
        </w:rPr>
        <w:t>（五）政府信息公开监督保障及教育培训情况</w:t>
      </w:r>
    </w:p>
    <w:p>
      <w:pPr>
        <w:ind w:firstLine="600" w:firstLineChars="200"/>
        <w:rPr>
          <w:rFonts w:ascii="仿宋" w:hAnsi="仿宋" w:eastAsia="仿宋"/>
          <w:sz w:val="30"/>
          <w:szCs w:val="30"/>
        </w:rPr>
      </w:pPr>
      <w:r>
        <w:rPr>
          <w:rFonts w:hint="eastAsia" w:ascii="仿宋" w:hAnsi="仿宋" w:eastAsia="仿宋"/>
          <w:sz w:val="30"/>
          <w:szCs w:val="30"/>
        </w:rPr>
        <w:t>全面规范信息公开工作流程，严格执行先审查后公开、一事一审、全面审查的原则。主动公开信息方面，按照制度要求，加强信息发布的组织、协调、推进，落实了信息发布的保密审查，同时完善公文处理制度，启用新公文送审签发单，规范信息公开程序，在完成公文草拟的同时，进行审核和保密审查，确定公开属性，方可对外发布。依申请信息公开方面，以《马家堡街道政府信息公开工作试行办法》为工作指导，严格遵照申请--资格审核--受理--答复--回访的流程办理，由综合办公室负责受理,主要领导及主管领导审批,综合办公室和涉及科室会同法律顾问共同研究审议后，汇报领导并出具答复书。</w:t>
      </w:r>
    </w:p>
    <w:p>
      <w:pPr>
        <w:ind w:firstLine="600" w:firstLineChars="200"/>
        <w:rPr>
          <w:rFonts w:ascii="仿宋" w:hAnsi="仿宋" w:eastAsia="仿宋"/>
          <w:sz w:val="30"/>
          <w:szCs w:val="30"/>
        </w:rPr>
      </w:pPr>
      <w:r>
        <w:rPr>
          <w:rFonts w:hint="eastAsia" w:ascii="仿宋" w:hAnsi="仿宋" w:eastAsia="仿宋"/>
          <w:sz w:val="30"/>
          <w:szCs w:val="30"/>
        </w:rPr>
        <w:t>加大政府信息公开工作督查力度。为深入推进政府信息工作，我街道推行首问责任制，坚持机关工作人员亮证、挂牌上岗，方便群众办事，主动接受人大、政协、监察部门和群众的监督。</w:t>
      </w:r>
    </w:p>
    <w:p>
      <w:pPr>
        <w:ind w:firstLine="600" w:firstLineChars="200"/>
        <w:rPr>
          <w:rFonts w:ascii="仿宋" w:hAnsi="仿宋" w:eastAsia="仿宋"/>
          <w:sz w:val="30"/>
          <w:szCs w:val="30"/>
        </w:rPr>
      </w:pPr>
      <w:r>
        <w:rPr>
          <w:rFonts w:hint="eastAsia" w:ascii="仿宋" w:hAnsi="仿宋" w:eastAsia="仿宋"/>
          <w:sz w:val="30"/>
          <w:szCs w:val="30"/>
        </w:rPr>
        <w:t>教育培训方面，我街道一是加强多渠道宣传、提高普法知晓度。全年街道在辖区内开展宪法宣传日活动,全面提升街道整体依法行政水平。二是开展多样培训、提升干部素质水平。聘请具备实践经验的专家学者在街道范围内开展依法行政专题讲座5次，面向社区开展普法讲座8次，全面提高机关干部的依法行政能力。</w:t>
      </w:r>
    </w:p>
    <w:p>
      <w:pPr>
        <w:ind w:firstLine="600" w:firstLineChars="200"/>
        <w:rPr>
          <w:rFonts w:ascii="仿宋" w:hAnsi="仿宋" w:eastAsia="仿宋"/>
          <w:sz w:val="30"/>
          <w:szCs w:val="30"/>
        </w:rPr>
      </w:pPr>
      <w:r>
        <w:rPr>
          <w:rFonts w:hint="eastAsia" w:ascii="仿宋" w:hAnsi="仿宋" w:eastAsia="仿宋"/>
          <w:sz w:val="30"/>
          <w:szCs w:val="30"/>
        </w:rPr>
        <w:t>（六）市和区人民政府工作考核、社会评议和责任追究情况</w:t>
      </w:r>
    </w:p>
    <w:p>
      <w:pPr>
        <w:ind w:firstLine="600" w:firstLineChars="200"/>
        <w:rPr>
          <w:rFonts w:ascii="仿宋" w:hAnsi="仿宋" w:eastAsia="仿宋"/>
          <w:sz w:val="30"/>
          <w:szCs w:val="30"/>
        </w:rPr>
      </w:pPr>
      <w:r>
        <w:rPr>
          <w:rFonts w:hint="eastAsia" w:ascii="仿宋" w:hAnsi="仿宋" w:eastAsia="仿宋"/>
          <w:sz w:val="30"/>
          <w:szCs w:val="30"/>
        </w:rPr>
        <w:t>马家堡街道办事处201</w:t>
      </w:r>
      <w:r>
        <w:rPr>
          <w:rFonts w:ascii="仿宋" w:hAnsi="仿宋" w:eastAsia="仿宋"/>
          <w:sz w:val="30"/>
          <w:szCs w:val="30"/>
        </w:rPr>
        <w:t>8</w:t>
      </w:r>
      <w:r>
        <w:rPr>
          <w:rFonts w:hint="eastAsia" w:ascii="仿宋" w:hAnsi="仿宋" w:eastAsia="仿宋"/>
          <w:sz w:val="30"/>
          <w:szCs w:val="30"/>
        </w:rPr>
        <w:t>年度绩效考评得分为</w:t>
      </w:r>
      <w:r>
        <w:rPr>
          <w:rFonts w:ascii="仿宋" w:hAnsi="仿宋" w:eastAsia="仿宋"/>
          <w:sz w:val="30"/>
          <w:szCs w:val="30"/>
        </w:rPr>
        <w:t>74.57</w:t>
      </w:r>
      <w:r>
        <w:rPr>
          <w:rFonts w:hint="eastAsia" w:ascii="仿宋" w:hAnsi="仿宋" w:eastAsia="仿宋"/>
          <w:sz w:val="30"/>
          <w:szCs w:val="30"/>
        </w:rPr>
        <w:t>分。</w:t>
      </w: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ind w:firstLine="600" w:firstLineChars="200"/>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二、主动公开政府信息情况</w:t>
      </w:r>
    </w:p>
    <w:tbl>
      <w:tblPr>
        <w:tblStyle w:val="5"/>
        <w:tblW w:w="8638" w:type="dxa"/>
        <w:tblInd w:w="0" w:type="dxa"/>
        <w:tblLayout w:type="autofit"/>
        <w:tblCellMar>
          <w:top w:w="0" w:type="dxa"/>
          <w:left w:w="108" w:type="dxa"/>
          <w:bottom w:w="0" w:type="dxa"/>
          <w:right w:w="108" w:type="dxa"/>
        </w:tblCellMar>
      </w:tblPr>
      <w:tblGrid>
        <w:gridCol w:w="2690"/>
        <w:gridCol w:w="694"/>
        <w:gridCol w:w="2335"/>
        <w:gridCol w:w="1519"/>
        <w:gridCol w:w="1400"/>
      </w:tblGrid>
      <w:tr>
        <w:tblPrEx>
          <w:tblCellMar>
            <w:top w:w="0" w:type="dxa"/>
            <w:left w:w="108" w:type="dxa"/>
            <w:bottom w:w="0" w:type="dxa"/>
            <w:right w:w="108" w:type="dxa"/>
          </w:tblCellMar>
        </w:tblPrEx>
        <w:trPr>
          <w:trHeight w:val="495" w:hRule="atLeast"/>
        </w:trPr>
        <w:tc>
          <w:tcPr>
            <w:tcW w:w="8638" w:type="dxa"/>
            <w:gridSpan w:val="5"/>
            <w:tcBorders>
              <w:top w:val="single" w:color="auto" w:sz="4" w:space="0"/>
              <w:left w:val="single" w:color="auto" w:sz="4" w:space="0"/>
              <w:bottom w:val="single" w:color="auto" w:sz="4" w:space="0"/>
              <w:right w:val="single" w:color="auto" w:sz="4" w:space="0"/>
            </w:tcBorders>
            <w:shd w:val="clear" w:color="000000" w:fill="C6D9F1"/>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第二十条第（一）项</w:t>
            </w:r>
          </w:p>
        </w:tc>
      </w:tr>
      <w:tr>
        <w:tblPrEx>
          <w:tblCellMar>
            <w:top w:w="0" w:type="dxa"/>
            <w:left w:w="108" w:type="dxa"/>
            <w:bottom w:w="0" w:type="dxa"/>
            <w:right w:w="108" w:type="dxa"/>
          </w:tblCellMar>
        </w:tblPrEx>
        <w:trPr>
          <w:trHeight w:val="706" w:hRule="atLeast"/>
        </w:trPr>
        <w:tc>
          <w:tcPr>
            <w:tcW w:w="338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信息内容</w:t>
            </w:r>
          </w:p>
        </w:tc>
        <w:tc>
          <w:tcPr>
            <w:tcW w:w="23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本年新制作数量</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本年新公开数量</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对外公开总数量</w:t>
            </w:r>
          </w:p>
        </w:tc>
      </w:tr>
      <w:tr>
        <w:tblPrEx>
          <w:tblCellMar>
            <w:top w:w="0" w:type="dxa"/>
            <w:left w:w="108" w:type="dxa"/>
            <w:bottom w:w="0" w:type="dxa"/>
            <w:right w:w="108" w:type="dxa"/>
          </w:tblCellMar>
        </w:tblPrEx>
        <w:trPr>
          <w:trHeight w:val="586" w:hRule="atLeast"/>
        </w:trPr>
        <w:tc>
          <w:tcPr>
            <w:tcW w:w="338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规章</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trHeight w:val="583" w:hRule="atLeast"/>
        </w:trPr>
        <w:tc>
          <w:tcPr>
            <w:tcW w:w="338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规范性文件</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trHeight w:val="465" w:hRule="atLeast"/>
        </w:trPr>
        <w:tc>
          <w:tcPr>
            <w:tcW w:w="8638" w:type="dxa"/>
            <w:gridSpan w:val="5"/>
            <w:tcBorders>
              <w:top w:val="single" w:color="auto" w:sz="4" w:space="0"/>
              <w:left w:val="single" w:color="auto" w:sz="4" w:space="0"/>
              <w:bottom w:val="single" w:color="auto" w:sz="4" w:space="0"/>
              <w:right w:val="single" w:color="auto" w:sz="4" w:space="0"/>
            </w:tcBorders>
            <w:shd w:val="clear" w:color="000000" w:fill="C6D9F1"/>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第二十条第（五）项</w:t>
            </w:r>
          </w:p>
        </w:tc>
      </w:tr>
      <w:tr>
        <w:tblPrEx>
          <w:tblCellMar>
            <w:top w:w="0" w:type="dxa"/>
            <w:left w:w="108" w:type="dxa"/>
            <w:bottom w:w="0" w:type="dxa"/>
            <w:right w:w="108" w:type="dxa"/>
          </w:tblCellMar>
        </w:tblPrEx>
        <w:trPr>
          <w:trHeight w:val="706" w:hRule="atLeast"/>
        </w:trPr>
        <w:tc>
          <w:tcPr>
            <w:tcW w:w="338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信息内容</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上一年项目数量</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本年增/减</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处理决定数量</w:t>
            </w:r>
          </w:p>
        </w:tc>
      </w:tr>
      <w:tr>
        <w:tblPrEx>
          <w:tblCellMar>
            <w:top w:w="0" w:type="dxa"/>
            <w:left w:w="108" w:type="dxa"/>
            <w:bottom w:w="0" w:type="dxa"/>
            <w:right w:w="108" w:type="dxa"/>
          </w:tblCellMar>
        </w:tblPrEx>
        <w:trPr>
          <w:trHeight w:val="511" w:hRule="atLeast"/>
        </w:trPr>
        <w:tc>
          <w:tcPr>
            <w:tcW w:w="338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行政许可</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5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trHeight w:val="706" w:hRule="atLeast"/>
        </w:trPr>
        <w:tc>
          <w:tcPr>
            <w:tcW w:w="269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其他对外管理服务事项</w:t>
            </w:r>
          </w:p>
        </w:tc>
        <w:tc>
          <w:tcPr>
            <w:tcW w:w="6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行政检查</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5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trHeight w:val="706" w:hRule="atLeast"/>
        </w:trPr>
        <w:tc>
          <w:tcPr>
            <w:tcW w:w="26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6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行政确认</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5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trHeight w:val="491" w:hRule="atLeast"/>
        </w:trPr>
        <w:tc>
          <w:tcPr>
            <w:tcW w:w="8638" w:type="dxa"/>
            <w:gridSpan w:val="5"/>
            <w:tcBorders>
              <w:top w:val="single" w:color="auto" w:sz="4" w:space="0"/>
              <w:left w:val="single" w:color="auto" w:sz="4" w:space="0"/>
              <w:bottom w:val="single" w:color="auto" w:sz="4" w:space="0"/>
              <w:right w:val="single" w:color="auto" w:sz="4" w:space="0"/>
            </w:tcBorders>
            <w:shd w:val="clear" w:color="000000" w:fill="C6D9F1"/>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第二十条第（六）项</w:t>
            </w:r>
          </w:p>
        </w:tc>
      </w:tr>
      <w:tr>
        <w:tblPrEx>
          <w:tblCellMar>
            <w:top w:w="0" w:type="dxa"/>
            <w:left w:w="108" w:type="dxa"/>
            <w:bottom w:w="0" w:type="dxa"/>
            <w:right w:w="108" w:type="dxa"/>
          </w:tblCellMar>
        </w:tblPrEx>
        <w:trPr>
          <w:trHeight w:val="465" w:hRule="atLeast"/>
        </w:trPr>
        <w:tc>
          <w:tcPr>
            <w:tcW w:w="338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信息内容</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上一年项目数量</w:t>
            </w:r>
          </w:p>
        </w:tc>
        <w:tc>
          <w:tcPr>
            <w:tcW w:w="15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本年增/减</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处理决定数量</w:t>
            </w:r>
          </w:p>
        </w:tc>
      </w:tr>
      <w:tr>
        <w:tblPrEx>
          <w:tblCellMar>
            <w:top w:w="0" w:type="dxa"/>
            <w:left w:w="108" w:type="dxa"/>
            <w:bottom w:w="0" w:type="dxa"/>
            <w:right w:w="108" w:type="dxa"/>
          </w:tblCellMar>
        </w:tblPrEx>
        <w:trPr>
          <w:trHeight w:val="461" w:hRule="atLeast"/>
        </w:trPr>
        <w:tc>
          <w:tcPr>
            <w:tcW w:w="338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行政处罚</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5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trHeight w:val="413" w:hRule="atLeast"/>
        </w:trPr>
        <w:tc>
          <w:tcPr>
            <w:tcW w:w="338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行政强制</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51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14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trHeight w:val="389" w:hRule="atLeast"/>
        </w:trPr>
        <w:tc>
          <w:tcPr>
            <w:tcW w:w="8638" w:type="dxa"/>
            <w:gridSpan w:val="5"/>
            <w:tcBorders>
              <w:top w:val="single" w:color="auto" w:sz="4" w:space="0"/>
              <w:left w:val="single" w:color="auto" w:sz="4" w:space="0"/>
              <w:bottom w:val="single" w:color="auto" w:sz="4" w:space="0"/>
              <w:right w:val="single" w:color="auto" w:sz="4" w:space="0"/>
            </w:tcBorders>
            <w:shd w:val="clear" w:color="000000" w:fill="C6D9F1"/>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第二十条第（八）项</w:t>
            </w:r>
          </w:p>
        </w:tc>
      </w:tr>
      <w:tr>
        <w:tblPrEx>
          <w:tblCellMar>
            <w:top w:w="0" w:type="dxa"/>
            <w:left w:w="108" w:type="dxa"/>
            <w:bottom w:w="0" w:type="dxa"/>
            <w:right w:w="108" w:type="dxa"/>
          </w:tblCellMar>
        </w:tblPrEx>
        <w:trPr>
          <w:trHeight w:val="550" w:hRule="atLeast"/>
        </w:trPr>
        <w:tc>
          <w:tcPr>
            <w:tcW w:w="338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信息内容</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上一年项目数量</w:t>
            </w:r>
          </w:p>
        </w:tc>
        <w:tc>
          <w:tcPr>
            <w:tcW w:w="2919"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本年增/减</w:t>
            </w:r>
          </w:p>
        </w:tc>
      </w:tr>
      <w:tr>
        <w:tblPrEx>
          <w:tblCellMar>
            <w:top w:w="0" w:type="dxa"/>
            <w:left w:w="108" w:type="dxa"/>
            <w:bottom w:w="0" w:type="dxa"/>
            <w:right w:w="108" w:type="dxa"/>
          </w:tblCellMar>
        </w:tblPrEx>
        <w:trPr>
          <w:trHeight w:val="544" w:hRule="atLeast"/>
        </w:trPr>
        <w:tc>
          <w:tcPr>
            <w:tcW w:w="338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行政事业性收费</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2919"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r>
      <w:tr>
        <w:tblPrEx>
          <w:tblCellMar>
            <w:top w:w="0" w:type="dxa"/>
            <w:left w:w="108" w:type="dxa"/>
            <w:bottom w:w="0" w:type="dxa"/>
            <w:right w:w="108" w:type="dxa"/>
          </w:tblCellMar>
        </w:tblPrEx>
        <w:trPr>
          <w:trHeight w:val="438" w:hRule="atLeast"/>
        </w:trPr>
        <w:tc>
          <w:tcPr>
            <w:tcW w:w="8638" w:type="dxa"/>
            <w:gridSpan w:val="5"/>
            <w:tcBorders>
              <w:top w:val="single" w:color="auto" w:sz="4" w:space="0"/>
              <w:left w:val="single" w:color="auto" w:sz="4" w:space="0"/>
              <w:bottom w:val="single" w:color="auto" w:sz="4" w:space="0"/>
              <w:right w:val="single" w:color="auto" w:sz="4" w:space="0"/>
            </w:tcBorders>
            <w:shd w:val="clear" w:color="000000" w:fill="C6D9F1"/>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第二十条第（九）项</w:t>
            </w:r>
          </w:p>
        </w:tc>
      </w:tr>
      <w:tr>
        <w:tblPrEx>
          <w:tblCellMar>
            <w:top w:w="0" w:type="dxa"/>
            <w:left w:w="108" w:type="dxa"/>
            <w:bottom w:w="0" w:type="dxa"/>
            <w:right w:w="108" w:type="dxa"/>
          </w:tblCellMar>
        </w:tblPrEx>
        <w:trPr>
          <w:trHeight w:val="706" w:hRule="atLeast"/>
        </w:trPr>
        <w:tc>
          <w:tcPr>
            <w:tcW w:w="338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信息内容</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采购项目数量</w:t>
            </w:r>
          </w:p>
        </w:tc>
        <w:tc>
          <w:tcPr>
            <w:tcW w:w="2919"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采购总金额（万元，保留四位小数）</w:t>
            </w:r>
          </w:p>
        </w:tc>
      </w:tr>
      <w:tr>
        <w:tblPrEx>
          <w:tblCellMar>
            <w:top w:w="0" w:type="dxa"/>
            <w:left w:w="108" w:type="dxa"/>
            <w:bottom w:w="0" w:type="dxa"/>
            <w:right w:w="108" w:type="dxa"/>
          </w:tblCellMar>
        </w:tblPrEx>
        <w:trPr>
          <w:trHeight w:val="373" w:hRule="atLeast"/>
        </w:trPr>
        <w:tc>
          <w:tcPr>
            <w:tcW w:w="338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政府集中采购</w:t>
            </w:r>
          </w:p>
        </w:tc>
        <w:tc>
          <w:tcPr>
            <w:tcW w:w="23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101</w:t>
            </w:r>
          </w:p>
        </w:tc>
        <w:tc>
          <w:tcPr>
            <w:tcW w:w="2919"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747.8441</w:t>
            </w:r>
          </w:p>
        </w:tc>
      </w:tr>
    </w:tbl>
    <w:p>
      <w:pPr>
        <w:ind w:left="-424" w:leftChars="-202" w:firstLine="426" w:firstLineChars="142"/>
        <w:rPr>
          <w:rFonts w:ascii="仿宋" w:hAnsi="仿宋" w:eastAsia="仿宋"/>
          <w:sz w:val="30"/>
          <w:szCs w:val="30"/>
        </w:rPr>
      </w:pPr>
    </w:p>
    <w:p>
      <w:pPr>
        <w:ind w:left="-424" w:leftChars="-202" w:firstLine="426" w:firstLineChars="142"/>
        <w:rPr>
          <w:rFonts w:ascii="仿宋" w:hAnsi="仿宋" w:eastAsia="仿宋"/>
          <w:sz w:val="30"/>
          <w:szCs w:val="30"/>
        </w:rPr>
      </w:pPr>
    </w:p>
    <w:p>
      <w:pPr>
        <w:ind w:left="-424" w:leftChars="-202" w:firstLine="426" w:firstLineChars="142"/>
        <w:rPr>
          <w:rFonts w:ascii="仿宋" w:hAnsi="仿宋" w:eastAsia="仿宋"/>
          <w:sz w:val="30"/>
          <w:szCs w:val="30"/>
        </w:rPr>
      </w:pPr>
      <w:r>
        <w:rPr>
          <w:rFonts w:hint="eastAsia" w:ascii="仿宋" w:hAnsi="仿宋" w:eastAsia="仿宋"/>
          <w:sz w:val="30"/>
          <w:szCs w:val="30"/>
        </w:rPr>
        <w:t>三、收到和处理政府信息公开申请情况</w:t>
      </w:r>
    </w:p>
    <w:tbl>
      <w:tblPr>
        <w:tblStyle w:val="5"/>
        <w:tblW w:w="8237" w:type="dxa"/>
        <w:tblInd w:w="93" w:type="dxa"/>
        <w:tblLayout w:type="fixed"/>
        <w:tblCellMar>
          <w:top w:w="0" w:type="dxa"/>
          <w:left w:w="108" w:type="dxa"/>
          <w:bottom w:w="0" w:type="dxa"/>
          <w:right w:w="108" w:type="dxa"/>
        </w:tblCellMar>
      </w:tblPr>
      <w:tblGrid>
        <w:gridCol w:w="945"/>
        <w:gridCol w:w="954"/>
        <w:gridCol w:w="3238"/>
        <w:gridCol w:w="548"/>
        <w:gridCol w:w="426"/>
        <w:gridCol w:w="425"/>
        <w:gridCol w:w="425"/>
        <w:gridCol w:w="425"/>
        <w:gridCol w:w="426"/>
        <w:gridCol w:w="425"/>
      </w:tblGrid>
      <w:tr>
        <w:tblPrEx>
          <w:tblCellMar>
            <w:top w:w="0" w:type="dxa"/>
            <w:left w:w="108" w:type="dxa"/>
            <w:bottom w:w="0" w:type="dxa"/>
            <w:right w:w="108" w:type="dxa"/>
          </w:tblCellMar>
        </w:tblPrEx>
        <w:trPr>
          <w:trHeight w:val="288" w:hRule="atLeast"/>
        </w:trPr>
        <w:tc>
          <w:tcPr>
            <w:tcW w:w="513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（本列数据的勾稽关系为：第一项加第二项之和，等于第三项加第四项之和）</w:t>
            </w:r>
          </w:p>
        </w:tc>
        <w:tc>
          <w:tcPr>
            <w:tcW w:w="3100"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申请人情况</w:t>
            </w:r>
          </w:p>
        </w:tc>
      </w:tr>
      <w:tr>
        <w:tblPrEx>
          <w:tblCellMar>
            <w:top w:w="0" w:type="dxa"/>
            <w:left w:w="108" w:type="dxa"/>
            <w:bottom w:w="0" w:type="dxa"/>
            <w:right w:w="108" w:type="dxa"/>
          </w:tblCellMar>
        </w:tblPrEx>
        <w:trPr>
          <w:trHeight w:val="288" w:hRule="atLeast"/>
        </w:trPr>
        <w:tc>
          <w:tcPr>
            <w:tcW w:w="513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54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自</w:t>
            </w:r>
          </w:p>
          <w:p>
            <w:pPr>
              <w:widowControl/>
              <w:jc w:val="center"/>
              <w:rPr>
                <w:rFonts w:ascii="宋体" w:hAnsi="宋体" w:eastAsia="宋体" w:cs="宋体"/>
                <w:kern w:val="0"/>
                <w:sz w:val="20"/>
                <w:szCs w:val="20"/>
              </w:rPr>
            </w:pPr>
            <w:r>
              <w:rPr>
                <w:rFonts w:hint="eastAsia" w:ascii="宋体" w:hAnsi="宋体" w:eastAsia="宋体" w:cs="宋体"/>
                <w:kern w:val="0"/>
                <w:sz w:val="20"/>
                <w:szCs w:val="20"/>
              </w:rPr>
              <w:t>然人</w:t>
            </w:r>
          </w:p>
        </w:tc>
        <w:tc>
          <w:tcPr>
            <w:tcW w:w="212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法人或其他组织</w:t>
            </w:r>
          </w:p>
        </w:tc>
        <w:tc>
          <w:tcPr>
            <w:tcW w:w="4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总计</w:t>
            </w:r>
          </w:p>
        </w:tc>
      </w:tr>
      <w:tr>
        <w:tblPrEx>
          <w:tblCellMar>
            <w:top w:w="0" w:type="dxa"/>
            <w:left w:w="108" w:type="dxa"/>
            <w:bottom w:w="0" w:type="dxa"/>
            <w:right w:w="108" w:type="dxa"/>
          </w:tblCellMar>
        </w:tblPrEx>
        <w:trPr>
          <w:trHeight w:val="424" w:hRule="atLeast"/>
        </w:trPr>
        <w:tc>
          <w:tcPr>
            <w:tcW w:w="513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54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商业企业</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科研机构</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社会公益组织</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法律服务机构</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其他</w:t>
            </w:r>
          </w:p>
        </w:tc>
        <w:tc>
          <w:tcPr>
            <w:tcW w:w="425" w:type="dxa"/>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288" w:hRule="atLeast"/>
        </w:trPr>
        <w:tc>
          <w:tcPr>
            <w:tcW w:w="51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一、本年新收政府信息公开申请数量</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12</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12</w:t>
            </w:r>
          </w:p>
        </w:tc>
      </w:tr>
      <w:tr>
        <w:tblPrEx>
          <w:tblCellMar>
            <w:top w:w="0" w:type="dxa"/>
            <w:left w:w="108" w:type="dxa"/>
            <w:bottom w:w="0" w:type="dxa"/>
            <w:right w:w="108" w:type="dxa"/>
          </w:tblCellMar>
        </w:tblPrEx>
        <w:trPr>
          <w:trHeight w:val="288" w:hRule="atLeast"/>
        </w:trPr>
        <w:tc>
          <w:tcPr>
            <w:tcW w:w="51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二、上年结转政府信息公开申请数量</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三、本年度办理结果</w:t>
            </w:r>
          </w:p>
        </w:tc>
        <w:tc>
          <w:tcPr>
            <w:tcW w:w="419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（一）予以公开</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2</w:t>
            </w:r>
          </w:p>
        </w:tc>
      </w:tr>
      <w:tr>
        <w:tblPrEx>
          <w:tblCellMar>
            <w:top w:w="0" w:type="dxa"/>
            <w:left w:w="108" w:type="dxa"/>
            <w:bottom w:w="0" w:type="dxa"/>
            <w:right w:w="108" w:type="dxa"/>
          </w:tblCellMar>
        </w:tblPrEx>
        <w:trPr>
          <w:trHeight w:val="480"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419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（二）部分公开（区分处理的，只计这一情形，不计其他情形）</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（三）不予公开</w:t>
            </w: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1.属于国家秘密</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74"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2.其他法律行政法规禁止公开</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3.危及“三安全一稳定”</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4.保护第三方合法权益</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5.属于三类内部事务信息</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6.属于四类过程性信息</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7.属于行政执法案卷</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8.属于行政查询事项</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66"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（四）无法提供</w:t>
            </w: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1.本机关不掌握相关政府信息</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10</w:t>
            </w:r>
          </w:p>
        </w:tc>
      </w:tr>
      <w:tr>
        <w:tblPrEx>
          <w:tblCellMar>
            <w:top w:w="0" w:type="dxa"/>
            <w:left w:w="108" w:type="dxa"/>
            <w:bottom w:w="0" w:type="dxa"/>
            <w:right w:w="108" w:type="dxa"/>
          </w:tblCellMar>
        </w:tblPrEx>
        <w:trPr>
          <w:trHeight w:val="315"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2.没有现成信息需要另行制作</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3.补正后申请内容仍不明确</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（五）不予处理</w:t>
            </w: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1.信访举报投诉类申请</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2.重复申请</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3.要求提供公开出版物</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4.无正当理由大量反复申请</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480"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954" w:type="dxa"/>
            <w:vMerge w:val="continue"/>
            <w:tcBorders>
              <w:top w:val="nil"/>
              <w:left w:val="single" w:color="auto" w:sz="4" w:space="0"/>
              <w:bottom w:val="single" w:color="auto" w:sz="4" w:space="0"/>
              <w:right w:val="single" w:color="auto" w:sz="4" w:space="0"/>
            </w:tcBorders>
            <w:vAlign w:val="center"/>
          </w:tcPr>
          <w:p>
            <w:pPr>
              <w:widowControl/>
              <w:jc w:val="left"/>
              <w:rPr>
                <w:rFonts w:ascii="楷体" w:hAnsi="楷体" w:eastAsia="楷体" w:cs="宋体"/>
                <w:kern w:val="0"/>
                <w:sz w:val="20"/>
                <w:szCs w:val="20"/>
              </w:rPr>
            </w:pPr>
          </w:p>
        </w:tc>
        <w:tc>
          <w:tcPr>
            <w:tcW w:w="3238"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5.要求行政机关确认或重新出具已获取信息</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419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（六）其他处理</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p>
        </w:tc>
      </w:tr>
      <w:tr>
        <w:tblPrEx>
          <w:tblCellMar>
            <w:top w:w="0" w:type="dxa"/>
            <w:left w:w="108" w:type="dxa"/>
            <w:bottom w:w="0" w:type="dxa"/>
            <w:right w:w="108" w:type="dxa"/>
          </w:tblCellMar>
        </w:tblPrEx>
        <w:trPr>
          <w:trHeight w:val="288" w:hRule="atLeast"/>
        </w:trPr>
        <w:tc>
          <w:tcPr>
            <w:tcW w:w="94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p>
        </w:tc>
        <w:tc>
          <w:tcPr>
            <w:tcW w:w="419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（七）总计</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12</w:t>
            </w:r>
          </w:p>
        </w:tc>
      </w:tr>
      <w:tr>
        <w:tblPrEx>
          <w:tblCellMar>
            <w:top w:w="0" w:type="dxa"/>
            <w:left w:w="108" w:type="dxa"/>
            <w:bottom w:w="0" w:type="dxa"/>
            <w:right w:w="108" w:type="dxa"/>
          </w:tblCellMar>
        </w:tblPrEx>
        <w:trPr>
          <w:trHeight w:val="288" w:hRule="atLeast"/>
        </w:trPr>
        <w:tc>
          <w:tcPr>
            <w:tcW w:w="51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四、结转下年度继续办理</w:t>
            </w:r>
          </w:p>
        </w:tc>
        <w:tc>
          <w:tcPr>
            <w:tcW w:w="548"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ascii="Calibri" w:hAnsi="Calibri" w:eastAsia="宋体" w:cs="宋体"/>
                <w:kern w:val="0"/>
                <w:sz w:val="20"/>
                <w:szCs w:val="20"/>
              </w:rPr>
              <w:t>0</w:t>
            </w:r>
          </w:p>
        </w:tc>
      </w:tr>
    </w:tbl>
    <w:p/>
    <w:p/>
    <w:p/>
    <w:p/>
    <w:p/>
    <w:p/>
    <w:p/>
    <w:p>
      <w:pPr>
        <w:ind w:left="-424" w:leftChars="-202" w:firstLine="426" w:firstLineChars="142"/>
        <w:rPr>
          <w:rFonts w:ascii="仿宋" w:hAnsi="仿宋" w:eastAsia="仿宋"/>
          <w:sz w:val="30"/>
          <w:szCs w:val="30"/>
        </w:rPr>
      </w:pPr>
      <w:r>
        <w:rPr>
          <w:rFonts w:hint="eastAsia" w:ascii="仿宋" w:hAnsi="仿宋" w:eastAsia="仿宋"/>
          <w:sz w:val="30"/>
          <w:szCs w:val="30"/>
        </w:rPr>
        <w:t>四、政府信息公开行政复议、行政诉讼情况</w:t>
      </w:r>
    </w:p>
    <w:tbl>
      <w:tblPr>
        <w:tblStyle w:val="5"/>
        <w:tblpPr w:leftFromText="180" w:rightFromText="180" w:vertAnchor="page" w:horzAnchor="margin" w:tblpXSpec="center" w:tblpY="2305"/>
        <w:tblW w:w="7196" w:type="dxa"/>
        <w:tblInd w:w="0" w:type="dxa"/>
        <w:tblLayout w:type="autofit"/>
        <w:tblCellMar>
          <w:top w:w="0" w:type="dxa"/>
          <w:left w:w="108" w:type="dxa"/>
          <w:bottom w:w="0" w:type="dxa"/>
          <w:right w:w="108" w:type="dxa"/>
        </w:tblCellMar>
      </w:tblPr>
      <w:tblGrid>
        <w:gridCol w:w="534"/>
        <w:gridCol w:w="425"/>
        <w:gridCol w:w="425"/>
        <w:gridCol w:w="567"/>
        <w:gridCol w:w="425"/>
        <w:gridCol w:w="426"/>
        <w:gridCol w:w="425"/>
        <w:gridCol w:w="425"/>
        <w:gridCol w:w="425"/>
        <w:gridCol w:w="283"/>
        <w:gridCol w:w="143"/>
        <w:gridCol w:w="425"/>
        <w:gridCol w:w="425"/>
        <w:gridCol w:w="567"/>
        <w:gridCol w:w="425"/>
        <w:gridCol w:w="851"/>
      </w:tblGrid>
      <w:tr>
        <w:tblPrEx>
          <w:tblCellMar>
            <w:top w:w="0" w:type="dxa"/>
            <w:left w:w="108" w:type="dxa"/>
            <w:bottom w:w="0" w:type="dxa"/>
            <w:right w:w="108" w:type="dxa"/>
          </w:tblCellMar>
        </w:tblPrEx>
        <w:trPr>
          <w:trHeight w:val="555" w:hRule="atLeast"/>
        </w:trPr>
        <w:tc>
          <w:tcPr>
            <w:tcW w:w="436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行政复议</w:t>
            </w:r>
          </w:p>
        </w:tc>
        <w:tc>
          <w:tcPr>
            <w:tcW w:w="283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行政诉讼</w:t>
            </w:r>
          </w:p>
        </w:tc>
      </w:tr>
      <w:tr>
        <w:tblPrEx>
          <w:tblCellMar>
            <w:top w:w="0" w:type="dxa"/>
            <w:left w:w="108" w:type="dxa"/>
            <w:bottom w:w="0" w:type="dxa"/>
            <w:right w:w="108" w:type="dxa"/>
          </w:tblCellMar>
        </w:tblPrEx>
        <w:trPr>
          <w:trHeight w:val="555" w:hRule="atLeast"/>
        </w:trPr>
        <w:tc>
          <w:tcPr>
            <w:tcW w:w="5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结果维持</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结果纠正</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其他结果</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尚未审结</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总计</w:t>
            </w:r>
          </w:p>
        </w:tc>
        <w:tc>
          <w:tcPr>
            <w:tcW w:w="212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未经复议直接起诉</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复议后起诉</w:t>
            </w:r>
          </w:p>
        </w:tc>
      </w:tr>
      <w:tr>
        <w:trPr>
          <w:trHeight w:val="555" w:hRule="atLeast"/>
        </w:trPr>
        <w:tc>
          <w:tcPr>
            <w:tcW w:w="5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0"/>
                <w:szCs w:val="20"/>
              </w:rPr>
            </w:pP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0"/>
                <w:szCs w:val="20"/>
              </w:rPr>
            </w:pP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0"/>
                <w:szCs w:val="20"/>
              </w:rPr>
            </w:pPr>
          </w:p>
        </w:tc>
        <w:tc>
          <w:tcPr>
            <w:tcW w:w="5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0"/>
                <w:szCs w:val="20"/>
              </w:rPr>
            </w:pPr>
          </w:p>
        </w:tc>
        <w:tc>
          <w:tcPr>
            <w:tcW w:w="4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0"/>
                <w:szCs w:val="20"/>
              </w:rPr>
            </w:pP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结果维持</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结果纠正</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其他结果</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尚未审结</w:t>
            </w:r>
          </w:p>
        </w:tc>
        <w:tc>
          <w:tcPr>
            <w:tcW w:w="4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总计</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结果维持</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结果纠正</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其他结果</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尚未审结</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总计</w:t>
            </w:r>
          </w:p>
        </w:tc>
      </w:tr>
      <w:tr>
        <w:tblPrEx>
          <w:tblCellMar>
            <w:top w:w="0" w:type="dxa"/>
            <w:left w:w="108" w:type="dxa"/>
            <w:bottom w:w="0" w:type="dxa"/>
            <w:right w:w="108" w:type="dxa"/>
          </w:tblCellMar>
        </w:tblPrEx>
        <w:trPr>
          <w:trHeight w:val="645"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6" w:type="dxa"/>
            <w:gridSpan w:val="2"/>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Calibri" w:hAnsi="Calibri" w:eastAsia="宋体" w:cs="宋体"/>
                <w:kern w:val="0"/>
                <w:sz w:val="20"/>
                <w:szCs w:val="20"/>
              </w:rPr>
            </w:pPr>
            <w:r>
              <w:rPr>
                <w:rFonts w:hint="eastAsia" w:ascii="Calibri" w:hAnsi="Calibri" w:eastAsia="宋体" w:cs="宋体"/>
                <w:kern w:val="0"/>
                <w:sz w:val="20"/>
                <w:szCs w:val="20"/>
              </w:rPr>
              <w:t>0</w:t>
            </w:r>
            <w:r>
              <w:rPr>
                <w:rFonts w:ascii="Calibri" w:hAnsi="Calibri" w:eastAsia="宋体" w:cs="宋体"/>
                <w:kern w:val="0"/>
                <w:sz w:val="20"/>
                <w:szCs w:val="20"/>
              </w:rPr>
              <w:t>　</w:t>
            </w:r>
          </w:p>
        </w:tc>
      </w:tr>
    </w:tbl>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五、政府信息公开工作存在的主要问题及改进情况</w:t>
      </w:r>
    </w:p>
    <w:p>
      <w:pPr>
        <w:ind w:firstLine="600" w:firstLineChars="200"/>
        <w:rPr>
          <w:rFonts w:ascii="仿宋" w:hAnsi="仿宋" w:eastAsia="仿宋"/>
          <w:sz w:val="30"/>
          <w:szCs w:val="30"/>
        </w:rPr>
      </w:pPr>
      <w:r>
        <w:rPr>
          <w:rFonts w:hint="eastAsia" w:ascii="仿宋" w:hAnsi="仿宋" w:eastAsia="仿宋"/>
          <w:sz w:val="30"/>
          <w:szCs w:val="30"/>
        </w:rPr>
        <w:t>马家堡街道信息公开工作虽然取得了一定成绩，但整体上仍然处于起步阶段，还面临着一些问题和困难，主要是各科室和社区对信息公开工作认识不足，组织制度、落实制度及监督考核制度还有待进一步完善，主动公开力度还需进一步增强。在今后的工作中，我街道将进一步落实信息公开工作各项规章制度，对信息公开工作进行更严格规范的管理，强化监督考核，加大督办力度，并继续做好政府门户网站的信息公开工作，加大公开力度，进一步提升信息公开的工作水平。</w:t>
      </w:r>
    </w:p>
    <w:p>
      <w:pPr>
        <w:ind w:firstLine="600" w:firstLineChars="200"/>
        <w:rPr>
          <w:rFonts w:ascii="仿宋" w:hAnsi="仿宋" w:eastAsia="仿宋"/>
          <w:sz w:val="30"/>
          <w:szCs w:val="30"/>
        </w:rPr>
      </w:pPr>
      <w:bookmarkStart w:id="0" w:name="_GoBack"/>
      <w:bookmarkEnd w:id="0"/>
    </w:p>
    <w:p>
      <w:pPr>
        <w:ind w:left="-424" w:leftChars="-202" w:firstLine="426" w:firstLineChars="142"/>
        <w:rPr>
          <w:rFonts w:ascii="仿宋" w:hAnsi="仿宋" w:eastAsia="仿宋"/>
          <w:sz w:val="30"/>
          <w:szCs w:val="30"/>
        </w:rPr>
      </w:pPr>
      <w:r>
        <w:rPr>
          <w:rFonts w:hint="eastAsia" w:ascii="仿宋" w:hAnsi="仿宋" w:eastAsia="仿宋"/>
          <w:sz w:val="30"/>
          <w:szCs w:val="30"/>
        </w:rPr>
        <w:t>六、其他需要报告的事项</w:t>
      </w:r>
    </w:p>
    <w:p>
      <w:pPr>
        <w:ind w:left="101" w:leftChars="48" w:firstLine="450" w:firstLineChars="150"/>
        <w:rPr>
          <w:rFonts w:ascii="仿宋" w:hAnsi="仿宋" w:eastAsia="仿宋"/>
          <w:szCs w:val="21"/>
        </w:rPr>
      </w:pPr>
      <w:r>
        <w:rPr>
          <w:rFonts w:ascii="仿宋" w:hAnsi="仿宋" w:eastAsia="仿宋"/>
          <w:sz w:val="30"/>
          <w:szCs w:val="30"/>
        </w:rPr>
        <w:t>北京市信息公开专栏丰台区</w:t>
      </w:r>
      <w:r>
        <w:rPr>
          <w:rFonts w:hint="eastAsia" w:ascii="仿宋" w:hAnsi="仿宋" w:eastAsia="仿宋"/>
          <w:sz w:val="30"/>
          <w:szCs w:val="30"/>
        </w:rPr>
        <w:t>马家堡街</w:t>
      </w:r>
      <w:r>
        <w:rPr>
          <w:rFonts w:ascii="仿宋" w:hAnsi="仿宋" w:eastAsia="仿宋"/>
          <w:sz w:val="30"/>
          <w:szCs w:val="30"/>
        </w:rPr>
        <w:t>道办事处，网址为</w:t>
      </w:r>
      <w:r>
        <w:fldChar w:fldCharType="begin"/>
      </w:r>
      <w:r>
        <w:instrText xml:space="preserve"> HYPERLINK "http://www.bjft.gov.cn/zfxxgk/ftq11GJ15/ftbm_index.shtml" </w:instrText>
      </w:r>
      <w:r>
        <w:fldChar w:fldCharType="separate"/>
      </w:r>
      <w:r>
        <w:rPr>
          <w:rStyle w:val="8"/>
          <w:rFonts w:ascii="仿宋" w:hAnsi="仿宋" w:eastAsia="仿宋"/>
          <w:szCs w:val="21"/>
        </w:rPr>
        <w:t>http://www.bjft.gov.cn/zfxxgk/ftq11GJ15/ftbm_index.shtml</w:t>
      </w:r>
      <w:r>
        <w:rPr>
          <w:rStyle w:val="8"/>
          <w:rFonts w:ascii="仿宋" w:hAnsi="仿宋" w:eastAsia="仿宋"/>
          <w:szCs w:val="21"/>
        </w:rPr>
        <w:fldChar w:fldCharType="end"/>
      </w:r>
      <w:r>
        <w:rPr>
          <w:rFonts w:ascii="仿宋" w:hAnsi="仿宋" w:eastAsia="仿宋"/>
          <w:sz w:val="30"/>
          <w:szCs w:val="30"/>
        </w:rPr>
        <w:t>，如需了解更多信息，请登录查询。</w:t>
      </w:r>
    </w:p>
    <w:p>
      <w:pPr>
        <w:ind w:left="-424" w:leftChars="-202" w:firstLine="298" w:firstLineChars="142"/>
        <w:rPr>
          <w:rFonts w:ascii="仿宋" w:hAnsi="仿宋" w:eastAsia="仿宋"/>
          <w:szCs w:val="21"/>
        </w:rPr>
      </w:pP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35"/>
    <w:rsid w:val="00010D2D"/>
    <w:rsid w:val="000467C2"/>
    <w:rsid w:val="0005742C"/>
    <w:rsid w:val="0006242C"/>
    <w:rsid w:val="000976A5"/>
    <w:rsid w:val="000F5003"/>
    <w:rsid w:val="001211DD"/>
    <w:rsid w:val="00124CD3"/>
    <w:rsid w:val="00162126"/>
    <w:rsid w:val="001D6624"/>
    <w:rsid w:val="001E1039"/>
    <w:rsid w:val="001E43E3"/>
    <w:rsid w:val="0024043C"/>
    <w:rsid w:val="002B6C28"/>
    <w:rsid w:val="002E153E"/>
    <w:rsid w:val="002E47A6"/>
    <w:rsid w:val="00325CBA"/>
    <w:rsid w:val="003617D8"/>
    <w:rsid w:val="00366BAF"/>
    <w:rsid w:val="003D190B"/>
    <w:rsid w:val="003E2871"/>
    <w:rsid w:val="003E5F9D"/>
    <w:rsid w:val="00443137"/>
    <w:rsid w:val="00567C47"/>
    <w:rsid w:val="00581B06"/>
    <w:rsid w:val="005D05FE"/>
    <w:rsid w:val="00674902"/>
    <w:rsid w:val="00695054"/>
    <w:rsid w:val="006D029A"/>
    <w:rsid w:val="006F5880"/>
    <w:rsid w:val="007255C8"/>
    <w:rsid w:val="007354ED"/>
    <w:rsid w:val="00762822"/>
    <w:rsid w:val="00762D51"/>
    <w:rsid w:val="00766319"/>
    <w:rsid w:val="00780683"/>
    <w:rsid w:val="00783C35"/>
    <w:rsid w:val="007A29C5"/>
    <w:rsid w:val="007B1369"/>
    <w:rsid w:val="007D2A3E"/>
    <w:rsid w:val="007E22BC"/>
    <w:rsid w:val="007F6A41"/>
    <w:rsid w:val="00872B89"/>
    <w:rsid w:val="00885ADF"/>
    <w:rsid w:val="008946FA"/>
    <w:rsid w:val="008F1B13"/>
    <w:rsid w:val="00910C71"/>
    <w:rsid w:val="009819EC"/>
    <w:rsid w:val="009F2D36"/>
    <w:rsid w:val="009F33ED"/>
    <w:rsid w:val="00A34E3B"/>
    <w:rsid w:val="00A748EE"/>
    <w:rsid w:val="00AD3530"/>
    <w:rsid w:val="00AF4005"/>
    <w:rsid w:val="00B331A0"/>
    <w:rsid w:val="00B55E6F"/>
    <w:rsid w:val="00B7278B"/>
    <w:rsid w:val="00BB4846"/>
    <w:rsid w:val="00BC3D41"/>
    <w:rsid w:val="00BE6BEA"/>
    <w:rsid w:val="00C21560"/>
    <w:rsid w:val="00C81DC2"/>
    <w:rsid w:val="00CA6B6E"/>
    <w:rsid w:val="00D00A79"/>
    <w:rsid w:val="00D07327"/>
    <w:rsid w:val="00D243A2"/>
    <w:rsid w:val="00D5431B"/>
    <w:rsid w:val="00D62E03"/>
    <w:rsid w:val="00D83583"/>
    <w:rsid w:val="00DB5B6C"/>
    <w:rsid w:val="00E15DAE"/>
    <w:rsid w:val="00E7427C"/>
    <w:rsid w:val="00E8672D"/>
    <w:rsid w:val="00E91BD6"/>
    <w:rsid w:val="00EA3EFB"/>
    <w:rsid w:val="00EC617B"/>
    <w:rsid w:val="00ED7A2C"/>
    <w:rsid w:val="00EE2F1C"/>
    <w:rsid w:val="00F17154"/>
    <w:rsid w:val="00F32A90"/>
    <w:rsid w:val="00F56600"/>
    <w:rsid w:val="00F73B70"/>
    <w:rsid w:val="00F74CAF"/>
    <w:rsid w:val="00F765D0"/>
    <w:rsid w:val="00F96389"/>
    <w:rsid w:val="00FB1E18"/>
    <w:rsid w:val="00FE237F"/>
    <w:rsid w:val="00FE2AE3"/>
    <w:rsid w:val="67220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Char"/>
    <w:basedOn w:val="7"/>
    <w:link w:val="4"/>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76141-EF08-4325-9EBA-5FCF14FA40B7}">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507</Words>
  <Characters>2892</Characters>
  <Lines>24</Lines>
  <Paragraphs>6</Paragraphs>
  <TotalTime>641</TotalTime>
  <ScaleCrop>false</ScaleCrop>
  <LinksUpToDate>false</LinksUpToDate>
  <CharactersWithSpaces>3393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2019-12-19T06:20:00Z</dcterms:created>
  <dc:creator>a</dc:creator>
  <cp:lastModifiedBy>浅夜</cp:lastModifiedBy>
  <cp:lastPrinted>2020-01-03T06:58:00Z</cp:lastPrinted>
  <dcterms:modified xsi:type="dcterms:W3CDTF">2022-01-26T07:06:11Z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BBF6E54C2B81446395B15693CCF7AD2E</vt:lpwstr>
  </property>
</Properties>
</file>