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北京市丰台区人民政府六里桥街道办事处202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年政府信息公开工作年度报告</w:t>
      </w:r>
    </w:p>
    <w:p>
      <w:pPr>
        <w:spacing w:line="560" w:lineRule="exact"/>
        <w:jc w:val="center"/>
        <w:rPr>
          <w:sz w:val="44"/>
          <w:szCs w:val="44"/>
        </w:rPr>
      </w:pP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4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rPr>
        <w:t>年，六里桥街道信息公开工作在区政务服务局的帮助指导下，紧紧围绕街道中心工作，着力提升政府信息和政务公开工作实效，认真落实《中华人民共和国政府信息公开条例》和《北京市丰台区202</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rPr>
        <w:t>年政务公开工作要点》，全面推进决策、执行、管理、服务、结果公开，加强解读回应，扩大公众参与，本着为民、利民、便民的原则，认真组织开展政府信息公开工作，现将有关情况汇报如下：</w:t>
      </w:r>
    </w:p>
    <w:p>
      <w:pPr>
        <w:widowControl/>
        <w:spacing w:line="560" w:lineRule="exact"/>
        <w:ind w:firstLine="640"/>
        <w:jc w:val="left"/>
        <w:rPr>
          <w:rFonts w:hint="eastAsia" w:ascii="楷体_GB2312" w:hAnsi="宋体" w:eastAsia="楷体_GB2312" w:cs="宋体"/>
          <w:spacing w:val="8"/>
          <w:kern w:val="0"/>
          <w:sz w:val="32"/>
          <w:szCs w:val="32"/>
        </w:rPr>
      </w:pPr>
      <w:r>
        <w:rPr>
          <w:rFonts w:hint="eastAsia" w:ascii="楷体_GB2312" w:hAnsi="宋体" w:eastAsia="楷体_GB2312" w:cs="宋体"/>
          <w:spacing w:val="8"/>
          <w:kern w:val="0"/>
          <w:sz w:val="32"/>
          <w:szCs w:val="32"/>
          <w:lang w:eastAsia="zh-CN"/>
        </w:rPr>
        <w:t>（一）组织领导情况</w:t>
      </w:r>
    </w:p>
    <w:p>
      <w:pPr>
        <w:widowControl/>
        <w:spacing w:line="560" w:lineRule="exact"/>
        <w:ind w:firstLine="640"/>
        <w:jc w:val="left"/>
        <w:rPr>
          <w:rFonts w:hint="eastAsia" w:ascii="楷体_GB2312" w:hAnsi="宋体" w:eastAsia="楷体_GB2312" w:cs="宋体"/>
          <w:spacing w:val="8"/>
          <w:kern w:val="0"/>
          <w:sz w:val="32"/>
          <w:szCs w:val="32"/>
        </w:rPr>
      </w:pPr>
      <w:r>
        <w:rPr>
          <w:rFonts w:hint="eastAsia" w:ascii="仿宋_GB2312" w:hAnsi="宋体" w:eastAsia="仿宋_GB2312" w:cs="宋体"/>
          <w:spacing w:val="8"/>
          <w:kern w:val="0"/>
          <w:sz w:val="32"/>
          <w:szCs w:val="32"/>
        </w:rPr>
        <w:t xml:space="preserve">街道高度重视政务信息公开工作，明确了由综合办公室负责全街道的政府信息公开工作，推进政务服务事项公开。组织相关人员认真学习市、区政府相关文件，不断完善政务信息发布机制，规范信息发布流程，使政务公开不流于形式，不走过场。根据人员变动，及时调整更换信息公开领导小组成员，加强开展政务公开业务学习培训，进一步增强做好信息公开工作的主动性和自觉性。 </w:t>
      </w:r>
    </w:p>
    <w:p>
      <w:pPr>
        <w:widowControl/>
        <w:numPr>
          <w:ilvl w:val="0"/>
          <w:numId w:val="1"/>
        </w:numPr>
        <w:spacing w:line="560" w:lineRule="exact"/>
        <w:ind w:firstLine="640"/>
        <w:jc w:val="left"/>
        <w:rPr>
          <w:rFonts w:hint="eastAsia" w:ascii="楷体_GB2312" w:hAnsi="宋体" w:eastAsia="楷体_GB2312" w:cs="宋体"/>
          <w:spacing w:val="8"/>
          <w:kern w:val="0"/>
          <w:sz w:val="32"/>
          <w:szCs w:val="32"/>
          <w:lang w:eastAsia="zh-CN"/>
        </w:rPr>
      </w:pPr>
      <w:r>
        <w:rPr>
          <w:rFonts w:hint="eastAsia" w:ascii="楷体_GB2312" w:hAnsi="宋体" w:eastAsia="楷体_GB2312" w:cs="宋体"/>
          <w:spacing w:val="8"/>
          <w:kern w:val="0"/>
          <w:sz w:val="32"/>
          <w:szCs w:val="32"/>
          <w:lang w:eastAsia="zh-CN"/>
        </w:rPr>
        <w:t>主动公开情况</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大力抓好主动公开，坚持“公开是原则，不公开是例外”原则，认真执行北京市政务信息公开制度相关文件要求，围绕社会广泛关注、事关群众切身利益的重大事项，主动、及时、准确地做好</w:t>
      </w:r>
      <w:r>
        <w:rPr>
          <w:rFonts w:hint="eastAsia" w:ascii="仿宋_GB2312" w:hAnsi="宋体" w:eastAsia="仿宋_GB2312" w:cs="宋体"/>
          <w:spacing w:val="8"/>
          <w:kern w:val="0"/>
          <w:sz w:val="32"/>
          <w:szCs w:val="32"/>
          <w:lang w:eastAsia="zh-CN"/>
        </w:rPr>
        <w:t>街道</w:t>
      </w:r>
      <w:r>
        <w:rPr>
          <w:rFonts w:hint="eastAsia" w:ascii="仿宋_GB2312" w:hAnsi="宋体" w:eastAsia="仿宋_GB2312" w:cs="宋体"/>
          <w:spacing w:val="8"/>
          <w:kern w:val="0"/>
          <w:sz w:val="32"/>
          <w:szCs w:val="32"/>
        </w:rPr>
        <w:t>政府信息报送工作。截止202</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rPr>
        <w:t>年12月底，</w:t>
      </w:r>
      <w:r>
        <w:rPr>
          <w:rFonts w:hint="eastAsia" w:ascii="仿宋_GB2312" w:hAnsi="宋体" w:eastAsia="仿宋_GB2312" w:cs="宋体"/>
          <w:spacing w:val="8"/>
          <w:kern w:val="0"/>
          <w:sz w:val="32"/>
          <w:szCs w:val="32"/>
          <w:lang w:eastAsia="zh-CN"/>
        </w:rPr>
        <w:t>街道</w:t>
      </w:r>
      <w:r>
        <w:rPr>
          <w:rFonts w:hint="eastAsia" w:ascii="仿宋_GB2312" w:hAnsi="宋体" w:eastAsia="仿宋_GB2312" w:cs="宋体"/>
          <w:spacing w:val="8"/>
          <w:kern w:val="0"/>
          <w:sz w:val="32"/>
          <w:szCs w:val="32"/>
        </w:rPr>
        <w:t>主动公开政府信息</w:t>
      </w:r>
      <w:r>
        <w:rPr>
          <w:rFonts w:hint="eastAsia" w:ascii="仿宋_GB2312" w:hAnsi="宋体" w:eastAsia="仿宋_GB2312" w:cs="宋体"/>
          <w:spacing w:val="8"/>
          <w:kern w:val="0"/>
          <w:sz w:val="32"/>
          <w:szCs w:val="32"/>
          <w:lang w:val="en-US" w:eastAsia="zh-CN"/>
        </w:rPr>
        <w:t>160</w:t>
      </w:r>
      <w:r>
        <w:rPr>
          <w:rFonts w:hint="eastAsia" w:ascii="仿宋_GB2312" w:hAnsi="宋体" w:eastAsia="仿宋_GB2312" w:cs="宋体"/>
          <w:spacing w:val="8"/>
          <w:kern w:val="0"/>
          <w:sz w:val="32"/>
          <w:szCs w:val="32"/>
        </w:rPr>
        <w:t>条，主要涉及经济社会发展、实事项目等方面。</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楷体_GB2312" w:hAnsi="楷体_GB2312" w:eastAsia="楷体_GB2312" w:cs="楷体_GB2312"/>
          <w:spacing w:val="8"/>
          <w:kern w:val="0"/>
          <w:sz w:val="32"/>
          <w:szCs w:val="32"/>
        </w:rPr>
      </w:pPr>
      <w:r>
        <w:rPr>
          <w:rFonts w:hint="eastAsia" w:ascii="楷体_GB2312" w:hAnsi="楷体_GB2312" w:eastAsia="楷体_GB2312" w:cs="楷体_GB2312"/>
          <w:spacing w:val="8"/>
          <w:kern w:val="0"/>
          <w:sz w:val="32"/>
          <w:szCs w:val="32"/>
          <w:lang w:eastAsia="zh-CN"/>
        </w:rPr>
        <w:t>（三）</w:t>
      </w:r>
      <w:r>
        <w:rPr>
          <w:rFonts w:hint="eastAsia" w:ascii="楷体_GB2312" w:hAnsi="楷体_GB2312" w:eastAsia="楷体_GB2312" w:cs="楷体_GB2312"/>
          <w:spacing w:val="8"/>
          <w:kern w:val="0"/>
          <w:sz w:val="32"/>
          <w:szCs w:val="32"/>
        </w:rPr>
        <w:t>依申请公开总体情况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规范依申请公开受理、审查、处理、答复等各个环节的工作流程，准确把握依申请公开处理原则，对公众提出的公开申请，经保密和法规部门审查，凡不涉密、不违法的必须按时限公开。全年共接到信息公开申请</w:t>
      </w:r>
      <w:r>
        <w:rPr>
          <w:rFonts w:hint="eastAsia" w:ascii="仿宋_GB2312" w:hAnsi="宋体" w:eastAsia="仿宋_GB2312" w:cs="宋体"/>
          <w:spacing w:val="8"/>
          <w:kern w:val="0"/>
          <w:sz w:val="32"/>
          <w:szCs w:val="32"/>
          <w:lang w:val="en-US" w:eastAsia="zh-CN"/>
        </w:rPr>
        <w:t>18</w:t>
      </w:r>
      <w:r>
        <w:rPr>
          <w:rFonts w:hint="eastAsia" w:ascii="仿宋_GB2312" w:hAnsi="宋体" w:eastAsia="仿宋_GB2312" w:cs="宋体"/>
          <w:spacing w:val="8"/>
          <w:kern w:val="0"/>
          <w:sz w:val="32"/>
          <w:szCs w:val="32"/>
        </w:rPr>
        <w:t>件，全部按期办结，答复办理规范、便民。</w:t>
      </w:r>
    </w:p>
    <w:p>
      <w:pPr>
        <w:pStyle w:val="2"/>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rPr>
      </w:pPr>
      <w:r>
        <w:rPr>
          <w:rFonts w:hint="eastAsia" w:ascii="楷体_GB2312" w:hAnsi="楷体_GB2312" w:eastAsia="楷体_GB2312" w:cs="楷体_GB2312"/>
          <w:spacing w:val="8"/>
          <w:kern w:val="0"/>
          <w:sz w:val="32"/>
          <w:szCs w:val="32"/>
          <w:lang w:eastAsia="zh-CN"/>
        </w:rPr>
        <w:t>（四）</w:t>
      </w:r>
      <w:r>
        <w:rPr>
          <w:rFonts w:hint="eastAsia" w:ascii="楷体_GB2312" w:hAnsi="楷体_GB2312" w:eastAsia="楷体_GB2312" w:cs="楷体_GB2312"/>
          <w:spacing w:val="8"/>
          <w:kern w:val="0"/>
          <w:sz w:val="32"/>
          <w:szCs w:val="32"/>
        </w:rPr>
        <w:t>政府信息管理总体情况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pPr>
      <w:r>
        <w:rPr>
          <w:rFonts w:hint="eastAsia" w:ascii="仿宋_GB2312" w:hAnsi="宋体" w:eastAsia="仿宋_GB2312" w:cs="宋体"/>
          <w:spacing w:val="8"/>
          <w:kern w:val="0"/>
          <w:sz w:val="32"/>
          <w:szCs w:val="32"/>
          <w:lang w:eastAsia="zh-CN"/>
        </w:rPr>
        <w:t>街道</w:t>
      </w:r>
      <w:r>
        <w:rPr>
          <w:rFonts w:hint="eastAsia" w:ascii="仿宋_GB2312" w:hAnsi="宋体" w:eastAsia="仿宋_GB2312" w:cs="宋体"/>
          <w:spacing w:val="8"/>
          <w:kern w:val="0"/>
          <w:sz w:val="32"/>
          <w:szCs w:val="32"/>
        </w:rPr>
        <w:t>按照政府信息公开有关工作要求，规范信息公开信息的收集、审查、发布程序，进一步细化步骤、优化流程，使</w:t>
      </w:r>
      <w:r>
        <w:rPr>
          <w:rFonts w:hint="eastAsia" w:ascii="仿宋_GB2312" w:hAnsi="宋体" w:eastAsia="仿宋_GB2312" w:cs="宋体"/>
          <w:spacing w:val="8"/>
          <w:kern w:val="0"/>
          <w:sz w:val="32"/>
          <w:szCs w:val="32"/>
          <w:lang w:eastAsia="zh-CN"/>
        </w:rPr>
        <w:t>街道</w:t>
      </w:r>
      <w:r>
        <w:rPr>
          <w:rFonts w:hint="eastAsia" w:ascii="仿宋_GB2312" w:hAnsi="宋体" w:eastAsia="仿宋_GB2312" w:cs="宋体"/>
          <w:spacing w:val="8"/>
          <w:kern w:val="0"/>
          <w:sz w:val="32"/>
          <w:szCs w:val="32"/>
        </w:rPr>
        <w:t>政府信息公开工作有据可依、有章可循，切实加强了政府信息公开工作的制度化、规范化建设。明确有关保密审查的职责分工、审查程序和责任追究，信息公开前一一进行保密审查，每月定期对公开内容进行保密检查。</w:t>
      </w: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numPr>
          <w:ilvl w:val="0"/>
          <w:numId w:val="2"/>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rPr>
          <w:rFonts w:hint="eastAsia"/>
        </w:rPr>
      </w:pPr>
    </w:p>
    <w:tbl>
      <w:tblPr>
        <w:tblStyle w:val="4"/>
        <w:tblpPr w:leftFromText="180" w:rightFromText="180" w:vertAnchor="text" w:horzAnchor="page" w:tblpX="1334" w:tblpY="131"/>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pStyle w:val="2"/>
        <w:numPr>
          <w:ilvl w:val="0"/>
          <w:numId w:val="0"/>
        </w:numPr>
        <w:rPr>
          <w:rFonts w:hint="eastAsia"/>
        </w:rPr>
      </w:pPr>
    </w:p>
    <w:p>
      <w:pPr>
        <w:numPr>
          <w:ilvl w:val="0"/>
          <w:numId w:val="2"/>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6"/>
        <w:gridCol w:w="943"/>
        <w:gridCol w:w="3217"/>
        <w:gridCol w:w="691"/>
        <w:gridCol w:w="688"/>
        <w:gridCol w:w="688"/>
        <w:gridCol w:w="688"/>
        <w:gridCol w:w="688"/>
        <w:gridCol w:w="688"/>
        <w:gridCol w:w="6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22"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91"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91"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91"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91"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ascii="Calibri" w:hAnsi="Calibri" w:cs="Calibri"/>
                <w:kern w:val="0"/>
                <w:sz w:val="20"/>
                <w:szCs w:val="20"/>
                <w:lang w:val="en-US" w:eastAsia="zh-CN" w:bidi="ar"/>
              </w:rPr>
              <w:t> </w:t>
            </w:r>
            <w:r>
              <w:rPr>
                <w:rFonts w:hint="eastAsia" w:cs="Calibri"/>
                <w:kern w:val="0"/>
                <w:sz w:val="20"/>
                <w:szCs w:val="20"/>
                <w:lang w:val="en-US" w:eastAsia="zh-CN" w:bidi="ar"/>
              </w:rPr>
              <w:t>18</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18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8" w:hRule="atLeast"/>
          <w:jc w:val="center"/>
        </w:trPr>
        <w:tc>
          <w:tcPr>
            <w:tcW w:w="4926"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0"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eastAsia"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91"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2</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5" w:hRule="atLeast"/>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0"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91"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eastAsia" w:cs="Calibri"/>
                <w:kern w:val="0"/>
                <w:sz w:val="20"/>
                <w:szCs w:val="20"/>
                <w:lang w:val="en-US" w:eastAsia="zh-CN" w:bidi="ar"/>
              </w:rPr>
              <w:t>16</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7"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91"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91"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0"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lang w:val="en-US"/>
              </w:rPr>
            </w:pPr>
            <w:r>
              <w:rPr>
                <w:rFonts w:hint="eastAsia" w:cs="Calibri"/>
                <w:kern w:val="0"/>
                <w:sz w:val="20"/>
                <w:szCs w:val="20"/>
                <w:lang w:val="en-US" w:eastAsia="zh-CN" w:bidi="ar"/>
              </w:rPr>
              <w:t>18</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lang w:val="en-US"/>
              </w:rPr>
            </w:pPr>
            <w:r>
              <w:rPr>
                <w:rFonts w:hint="eastAsia" w:cs="Calibri"/>
                <w:kern w:val="0"/>
                <w:sz w:val="20"/>
                <w:szCs w:val="20"/>
                <w:lang w:val="en-US" w:eastAsia="zh-CN" w:bidi="ar"/>
              </w:rPr>
              <w:t>18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91" w:type="dxa"/>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eastAsia="宋体"/>
                <w:sz w:val="24"/>
                <w:szCs w:val="24"/>
                <w:lang w:val="en-US" w:eastAsia="zh-CN"/>
              </w:rPr>
            </w:pPr>
            <w:r>
              <w:rPr>
                <w:rFonts w:hint="default"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eastAsia="宋体"/>
                <w:sz w:val="24"/>
                <w:szCs w:val="24"/>
                <w:lang w:val="en-US" w:eastAsia="zh-CN"/>
              </w:rPr>
            </w:pPr>
            <w:r>
              <w:rPr>
                <w:rFonts w:hint="default"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eastAsia="宋体"/>
                <w:sz w:val="24"/>
                <w:szCs w:val="24"/>
                <w:lang w:val="en-US" w:eastAsia="zh-CN"/>
              </w:rPr>
            </w:pPr>
            <w:r>
              <w:rPr>
                <w:rFonts w:hint="default"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eastAsia="宋体"/>
                <w:sz w:val="24"/>
                <w:szCs w:val="24"/>
                <w:lang w:val="en-US" w:eastAsia="zh-CN"/>
              </w:rPr>
            </w:pPr>
            <w:r>
              <w:rPr>
                <w:rFonts w:hint="default"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eastAsia="宋体"/>
                <w:sz w:val="24"/>
                <w:szCs w:val="24"/>
                <w:lang w:val="en-US" w:eastAsia="zh-CN"/>
              </w:rPr>
            </w:pPr>
            <w:r>
              <w:rPr>
                <w:rFonts w:hint="default"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default" w:ascii="Calibri" w:hAnsi="Calibri" w:cs="Calibri"/>
                <w:kern w:val="0"/>
                <w:sz w:val="20"/>
                <w:szCs w:val="20"/>
                <w:lang w:val="en-US" w:eastAsia="zh-CN" w:bidi="ar"/>
              </w:rPr>
              <w:t>0</w:t>
            </w:r>
          </w:p>
        </w:tc>
        <w:tc>
          <w:tcPr>
            <w:tcW w:w="691" w:type="dxa"/>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default" w:ascii="Calibri" w:hAnsi="Calibri" w:cs="Calibri"/>
                <w:kern w:val="0"/>
                <w:sz w:val="20"/>
                <w:szCs w:val="20"/>
                <w:lang w:val="en-US" w:eastAsia="zh-CN" w:bidi="ar"/>
              </w:rPr>
              <w:t>0</w:t>
            </w:r>
          </w:p>
        </w:tc>
      </w:tr>
    </w:tbl>
    <w:p>
      <w:pPr>
        <w:pStyle w:val="2"/>
        <w:numPr>
          <w:ilvl w:val="0"/>
          <w:numId w:val="0"/>
        </w:numPr>
        <w:ind w:leftChars="200"/>
        <w:rPr>
          <w:rFonts w:hint="eastAsia"/>
        </w:rPr>
      </w:pPr>
    </w:p>
    <w:p>
      <w:pPr>
        <w:pStyle w:val="2"/>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楷体_GB2312" w:hAnsi="楷体_GB2312" w:eastAsia="楷体_GB2312" w:cs="楷体_GB2312"/>
          <w:spacing w:val="8"/>
          <w:kern w:val="0"/>
          <w:sz w:val="32"/>
          <w:szCs w:val="32"/>
        </w:rPr>
      </w:pPr>
      <w:r>
        <w:rPr>
          <w:rFonts w:hint="eastAsia" w:ascii="楷体_GB2312" w:hAnsi="楷体_GB2312" w:eastAsia="楷体_GB2312" w:cs="楷体_GB2312"/>
          <w:spacing w:val="8"/>
          <w:kern w:val="0"/>
          <w:sz w:val="32"/>
          <w:szCs w:val="32"/>
        </w:rPr>
        <w:t>（一）主要问题</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spacing w:val="8"/>
          <w:kern w:val="0"/>
          <w:sz w:val="32"/>
          <w:szCs w:val="32"/>
          <w:lang w:eastAsia="zh-CN"/>
        </w:rPr>
      </w:pPr>
      <w:r>
        <w:rPr>
          <w:rFonts w:hint="eastAsia" w:ascii="仿宋_GB2312" w:hAnsi="仿宋_GB2312" w:eastAsia="仿宋_GB2312" w:cs="仿宋_GB2312"/>
          <w:spacing w:val="8"/>
          <w:kern w:val="0"/>
          <w:sz w:val="32"/>
          <w:szCs w:val="32"/>
        </w:rPr>
        <w:t>一是政务公开主动意识还不够强。对政务公开工作的功能定位，认识上还存在一定差距</w:t>
      </w:r>
      <w:r>
        <w:rPr>
          <w:rFonts w:hint="eastAsia" w:ascii="仿宋_GB2312" w:hAnsi="仿宋_GB2312" w:eastAsia="仿宋_GB2312" w:cs="仿宋_GB2312"/>
          <w:spacing w:val="8"/>
          <w:kern w:val="0"/>
          <w:sz w:val="32"/>
          <w:szCs w:val="32"/>
          <w:lang w:eastAsia="zh-CN"/>
        </w:rPr>
        <w:t>，</w:t>
      </w:r>
      <w:r>
        <w:rPr>
          <w:rFonts w:hint="eastAsia" w:ascii="仿宋_GB2312" w:hAnsi="仿宋_GB2312" w:eastAsia="仿宋_GB2312" w:cs="仿宋_GB2312"/>
          <w:spacing w:val="8"/>
          <w:kern w:val="0"/>
          <w:sz w:val="32"/>
          <w:szCs w:val="32"/>
        </w:rPr>
        <w:t>对信息公开的广度、深度认识还不够</w:t>
      </w:r>
      <w:r>
        <w:rPr>
          <w:rFonts w:hint="eastAsia" w:ascii="仿宋_GB2312" w:hAnsi="仿宋_GB2312" w:eastAsia="仿宋_GB2312" w:cs="仿宋_GB2312"/>
          <w:spacing w:val="8"/>
          <w:kern w:val="0"/>
          <w:sz w:val="32"/>
          <w:szCs w:val="32"/>
        </w:rPr>
        <w:t>；</w:t>
      </w:r>
      <w:r>
        <w:rPr>
          <w:rFonts w:hint="eastAsia" w:ascii="仿宋_GB2312" w:hAnsi="仿宋_GB2312" w:eastAsia="仿宋_GB2312" w:cs="仿宋_GB2312"/>
          <w:spacing w:val="8"/>
          <w:kern w:val="0"/>
          <w:sz w:val="32"/>
          <w:szCs w:val="32"/>
          <w:lang w:eastAsia="zh-CN"/>
        </w:rPr>
        <w:t>二是</w:t>
      </w:r>
      <w:r>
        <w:rPr>
          <w:rFonts w:hint="eastAsia" w:ascii="仿宋_GB2312" w:hAnsi="仿宋_GB2312" w:eastAsia="仿宋_GB2312" w:cs="仿宋_GB2312"/>
          <w:spacing w:val="8"/>
          <w:kern w:val="0"/>
          <w:sz w:val="32"/>
          <w:szCs w:val="32"/>
        </w:rPr>
        <w:t>重点领域政府信息公开实效性不强、深度不够、质量不高</w:t>
      </w:r>
      <w:r>
        <w:rPr>
          <w:rFonts w:hint="eastAsia" w:ascii="仿宋_GB2312" w:hAnsi="仿宋_GB2312" w:eastAsia="仿宋_GB2312" w:cs="仿宋_GB2312"/>
          <w:spacing w:val="8"/>
          <w:kern w:val="0"/>
          <w:sz w:val="32"/>
          <w:szCs w:val="32"/>
          <w:lang w:eastAsia="zh-CN"/>
        </w:rPr>
        <w:t>；三</w:t>
      </w:r>
      <w:r>
        <w:rPr>
          <w:rFonts w:hint="eastAsia" w:ascii="仿宋_GB2312" w:hAnsi="仿宋_GB2312" w:eastAsia="仿宋_GB2312" w:cs="仿宋_GB2312"/>
          <w:spacing w:val="8"/>
          <w:kern w:val="0"/>
          <w:sz w:val="32"/>
          <w:szCs w:val="32"/>
        </w:rPr>
        <w:t>是对政府信息公开工作的宣传工作力度不足</w:t>
      </w:r>
      <w:r>
        <w:rPr>
          <w:rFonts w:hint="eastAsia" w:ascii="仿宋_GB2312" w:hAnsi="仿宋_GB2312" w:eastAsia="仿宋_GB2312" w:cs="仿宋_GB2312"/>
          <w:spacing w:val="8"/>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hint="eastAsia" w:ascii="楷体_GB2312" w:hAnsi="楷体_GB2312" w:eastAsia="楷体_GB2312" w:cs="楷体_GB2312"/>
          <w:spacing w:val="8"/>
          <w:kern w:val="0"/>
          <w:sz w:val="32"/>
          <w:szCs w:val="32"/>
        </w:rPr>
      </w:pPr>
      <w:r>
        <w:rPr>
          <w:rFonts w:hint="eastAsia" w:ascii="楷体_GB2312" w:hAnsi="楷体_GB2312" w:eastAsia="楷体_GB2312" w:cs="楷体_GB2312"/>
          <w:spacing w:val="8"/>
          <w:kern w:val="0"/>
          <w:sz w:val="32"/>
          <w:szCs w:val="32"/>
        </w:rPr>
        <w:t>（二）改进措施</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一是进一步加强相关人员培训，提高工作效率。开展专职培训，指导各部门负责同志掌握相关的法律法规和办事流程；二是进一步突出重点，及时发布公开。围绕人民群众关心和涉及群众切身利益的实际问题，调整充实公开内容，及时有效公开相关信息；三是积极探索新措施、新方法，丰富宣传形式，提高信息公开知晓率，全面深入做好信息公开工作。</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bookmarkStart w:id="0" w:name="_GoBack"/>
      <w:bookmarkEnd w:id="0"/>
    </w:p>
    <w:p>
      <w:pPr>
        <w:widowControl/>
        <w:spacing w:line="560" w:lineRule="exact"/>
        <w:ind w:firstLine="672" w:firstLineChars="200"/>
        <w:jc w:val="left"/>
      </w:pPr>
      <w:r>
        <w:rPr>
          <w:rFonts w:hint="eastAsia" w:ascii="仿宋_GB2312" w:hAnsi="宋体" w:eastAsia="仿宋_GB2312" w:cs="宋体"/>
          <w:spacing w:val="8"/>
          <w:kern w:val="0"/>
          <w:sz w:val="32"/>
          <w:szCs w:val="32"/>
        </w:rPr>
        <w:t>我街道本年度发出收费通知的件数和总金额以及实际收取的总金额均为0。</w:t>
      </w:r>
    </w:p>
    <w:p>
      <w:pPr>
        <w:widowControl/>
        <w:spacing w:line="560" w:lineRule="exact"/>
        <w:jc w:val="left"/>
        <w:rPr>
          <w:rFonts w:hint="eastAsia" w:ascii="仿宋_GB2312" w:hAnsi="宋体" w:eastAsia="仿宋_GB2312" w:cs="宋体"/>
          <w:color w:val="9BC2E6"/>
          <w:spacing w:val="8"/>
          <w:kern w:val="0"/>
          <w:sz w:val="32"/>
          <w:szCs w:val="32"/>
        </w:rPr>
      </w:pPr>
    </w:p>
    <w:p>
      <w:pPr>
        <w:pStyle w:val="2"/>
        <w:spacing w:line="560" w:lineRule="exact"/>
        <w:rPr>
          <w:rFonts w:hint="eastAsia" w:ascii="微软雅黑" w:hAnsi="微软雅黑" w:eastAsia="微软雅黑" w:cs="宋体"/>
          <w:color w:val="404040"/>
          <w:kern w:val="0"/>
          <w:sz w:val="32"/>
          <w:szCs w:val="32"/>
        </w:rPr>
      </w:pPr>
      <w:r>
        <w:rPr>
          <w:rFonts w:hint="eastAsia" w:ascii="微软雅黑" w:hAnsi="微软雅黑" w:eastAsia="微软雅黑" w:cs="宋体"/>
          <w:color w:val="404040"/>
          <w:kern w:val="0"/>
          <w:sz w:val="32"/>
          <w:szCs w:val="32"/>
        </w:rPr>
        <w:t xml:space="preserve"> </w:t>
      </w:r>
    </w:p>
    <w:p>
      <w:pPr>
        <w:pStyle w:val="2"/>
        <w:spacing w:line="560" w:lineRule="exact"/>
        <w:rPr>
          <w:rFonts w:hint="eastAsia" w:ascii="微软雅黑" w:hAnsi="微软雅黑" w:eastAsia="微软雅黑" w:cs="宋体"/>
          <w:color w:val="404040"/>
          <w:kern w:val="0"/>
          <w:sz w:val="32"/>
          <w:szCs w:val="32"/>
        </w:rPr>
      </w:pPr>
    </w:p>
    <w:p>
      <w:pPr>
        <w:pStyle w:val="2"/>
        <w:spacing w:line="560" w:lineRule="exact"/>
        <w:rPr>
          <w:rFonts w:hint="eastAsia" w:ascii="微软雅黑" w:hAnsi="微软雅黑" w:eastAsia="微软雅黑" w:cs="宋体"/>
          <w:color w:val="404040"/>
          <w:kern w:val="0"/>
          <w:sz w:val="32"/>
          <w:szCs w:val="32"/>
        </w:rPr>
      </w:pPr>
    </w:p>
    <w:p>
      <w:pPr>
        <w:pStyle w:val="2"/>
        <w:spacing w:line="560" w:lineRule="exact"/>
        <w:rPr>
          <w:rFonts w:hint="eastAsia" w:ascii="微软雅黑" w:hAnsi="微软雅黑" w:eastAsia="微软雅黑" w:cs="宋体"/>
          <w:color w:val="404040"/>
          <w:kern w:val="0"/>
          <w:sz w:val="32"/>
          <w:szCs w:val="32"/>
        </w:rPr>
      </w:pPr>
    </w:p>
    <w:p>
      <w:pPr>
        <w:pStyle w:val="2"/>
        <w:spacing w:line="560" w:lineRule="exact"/>
        <w:rPr>
          <w:rFonts w:hint="eastAsia" w:ascii="微软雅黑" w:hAnsi="微软雅黑" w:eastAsia="微软雅黑" w:cs="宋体"/>
          <w:color w:val="404040"/>
          <w:kern w:val="0"/>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abstractNum w:abstractNumId="1">
    <w:nsid w:val="F9CFE24B"/>
    <w:multiLevelType w:val="singleLevel"/>
    <w:tmpl w:val="F9CFE24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4YzNjNTI5M2U1NmJlMzQzYTVkMTk1YjY4OWY1MmEifQ=="/>
  </w:docVars>
  <w:rsids>
    <w:rsidRoot w:val="66A9245F"/>
    <w:rsid w:val="03037DC3"/>
    <w:rsid w:val="30322DA5"/>
    <w:rsid w:val="4FBE1833"/>
    <w:rsid w:val="66A9245F"/>
    <w:rsid w:val="66AE3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jc w:val="both"/>
    </w:pPr>
    <w:rPr>
      <w:rFonts w:ascii="Calibri" w:hAnsi="Calibri" w:eastAsia="宋体" w:cs="Times New Roman"/>
      <w:kern w:val="2"/>
      <w:sz w:val="21"/>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2022-12-29T02:49:00Z</dcterms:created>
  <dc:creator>lc</dc:creator>
  <cp:lastModifiedBy>y</cp:lastModifiedBy>
  <dcterms:modified xsi:type="dcterms:W3CDTF">2023-01-04T07:08:12Z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582BB82DFC0C44C5A7B63D9460D22CE5</vt:lpwstr>
  </property>
</Properties>
</file>