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北京市丰台区人民政府新村街道办事处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2024年政府信息公开工作年度报告</w:t>
      </w:r>
    </w:p>
    <w:p>
      <w:pPr>
        <w:spacing w:line="560" w:lineRule="exact"/>
        <w:jc w:val="center"/>
        <w:rPr>
          <w:sz w:val="44"/>
          <w:szCs w:val="44"/>
        </w:rPr>
      </w:pPr>
      <w:r>
        <w:rPr>
          <w:rFonts w:hint="eastAsia" w:ascii="微软雅黑" w:hAnsi="微软雅黑" w:eastAsia="微软雅黑" w:cs="宋体"/>
          <w:color w:val="404040"/>
          <w:kern w:val="0"/>
          <w:sz w:val="24"/>
        </w:rPr>
        <w:t>　</w:t>
      </w:r>
      <w:r>
        <w:rPr>
          <w:rFonts w:hint="eastAsia" w:ascii="微软雅黑" w:hAnsi="微软雅黑" w:eastAsia="微软雅黑" w:cs="宋体"/>
          <w:color w:val="404040"/>
          <w:kern w:val="0"/>
          <w:sz w:val="32"/>
          <w:szCs w:val="32"/>
        </w:rPr>
        <w:t xml:space="preserve"> </w:t>
      </w:r>
      <w:r>
        <w:rPr>
          <w:rFonts w:ascii="微软雅黑" w:hAnsi="微软雅黑" w:eastAsia="微软雅黑" w:cs="宋体"/>
          <w:color w:val="404040"/>
          <w:kern w:val="0"/>
          <w:sz w:val="32"/>
          <w:szCs w:val="32"/>
        </w:rPr>
        <w:t xml:space="preserve"> </w:t>
      </w:r>
    </w:p>
    <w:p>
      <w:pPr>
        <w:widowControl/>
        <w:spacing w:line="560" w:lineRule="exact"/>
        <w:jc w:val="left"/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</w:pPr>
      <w:r>
        <w:rPr>
          <w:rFonts w:hint="eastAsia" w:ascii="微软雅黑" w:hAnsi="微软雅黑" w:eastAsia="微软雅黑" w:cs="宋体"/>
          <w:color w:val="404040"/>
          <w:kern w:val="0"/>
          <w:sz w:val="24"/>
        </w:rPr>
        <w:t>　　</w:t>
      </w:r>
      <w:r>
        <w:rPr>
          <w:rFonts w:hint="eastAsia" w:ascii="微软雅黑" w:hAnsi="微软雅黑" w:eastAsia="微软雅黑" w:cs="宋体"/>
          <w:color w:val="404040"/>
          <w:kern w:val="0"/>
          <w:sz w:val="32"/>
          <w:szCs w:val="32"/>
        </w:rPr>
        <w:t xml:space="preserve"> </w:t>
      </w:r>
      <w:r>
        <w:rPr>
          <w:rFonts w:ascii="微软雅黑" w:hAnsi="微软雅黑" w:eastAsia="微软雅黑" w:cs="宋体"/>
          <w:color w:val="404040"/>
          <w:kern w:val="0"/>
          <w:sz w:val="32"/>
          <w:szCs w:val="32"/>
        </w:rPr>
        <w:t xml:space="preserve">  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  <w:t>依据《中华人民共和国政府信息公开条例》(以下简称《政府信息公开条例》)第五十条规定，编制本报告。</w:t>
      </w:r>
    </w:p>
    <w:p>
      <w:pPr>
        <w:widowControl/>
        <w:spacing w:line="560" w:lineRule="exact"/>
        <w:ind w:firstLine="672" w:firstLineChars="200"/>
        <w:jc w:val="left"/>
        <w:rPr>
          <w:rFonts w:hint="eastAsia" w:ascii="黑体" w:hAnsi="黑体" w:eastAsia="黑体" w:cs="宋体"/>
          <w:spacing w:val="8"/>
          <w:kern w:val="0"/>
          <w:sz w:val="32"/>
          <w:szCs w:val="32"/>
        </w:rPr>
      </w:pPr>
      <w:r>
        <w:rPr>
          <w:rFonts w:ascii="黑体" w:hAnsi="黑体" w:eastAsia="黑体" w:cs="宋体"/>
          <w:spacing w:val="8"/>
          <w:kern w:val="0"/>
          <w:sz w:val="32"/>
          <w:szCs w:val="32"/>
        </w:rPr>
        <w:t>一、总体情况</w:t>
      </w:r>
    </w:p>
    <w:p>
      <w:pPr>
        <w:widowControl/>
        <w:spacing w:line="560" w:lineRule="exact"/>
        <w:ind w:firstLine="675"/>
        <w:jc w:val="left"/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eastAsia="zh-CN"/>
        </w:rPr>
      </w:pP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  <w:t>2024年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eastAsia="zh-CN"/>
        </w:rPr>
        <w:t>，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  <w:t>新村街道继续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eastAsia="zh-CN"/>
        </w:rPr>
        <w:t>以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  <w:t>《中华人民共和国政府信息公开条例》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eastAsia="zh-CN"/>
        </w:rPr>
        <w:t>为工作标准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  <w:t>，认真贯彻落实《丰台区2024年政务公开工作要点》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eastAsia="zh-CN"/>
        </w:rPr>
        <w:t>，畅通公开渠道、开展业务培训、加强宣传引导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  <w:t>，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eastAsia="zh-CN"/>
        </w:rPr>
        <w:t>着力提升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  <w:t>依法行政和政务服务水平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eastAsia="zh-CN"/>
        </w:rPr>
        <w:t>。</w:t>
      </w:r>
    </w:p>
    <w:p>
      <w:pPr>
        <w:widowControl/>
        <w:spacing w:line="560" w:lineRule="exact"/>
        <w:ind w:firstLine="675"/>
        <w:jc w:val="left"/>
        <w:rPr>
          <w:rFonts w:hint="eastAsia" w:ascii="楷体_GB2312" w:hAnsi="楷体_GB2312" w:eastAsia="楷体_GB2312" w:cs="楷体_GB2312"/>
          <w:spacing w:val="8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spacing w:val="8"/>
          <w:kern w:val="0"/>
          <w:sz w:val="32"/>
          <w:szCs w:val="32"/>
        </w:rPr>
        <w:t>（一）主动公开情况</w:t>
      </w:r>
    </w:p>
    <w:p>
      <w:pPr>
        <w:widowControl/>
        <w:spacing w:line="560" w:lineRule="exact"/>
        <w:ind w:firstLine="675"/>
        <w:jc w:val="left"/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  <w:t>2024年，街道网站公开信息共计818条，微信公众号共推送478期、1545条信息。</w:t>
      </w:r>
    </w:p>
    <w:p>
      <w:pPr>
        <w:widowControl/>
        <w:spacing w:line="560" w:lineRule="exact"/>
        <w:ind w:firstLine="675"/>
        <w:jc w:val="left"/>
        <w:rPr>
          <w:rFonts w:hint="eastAsia" w:ascii="楷体_GB2312" w:hAnsi="楷体_GB2312" w:eastAsia="楷体_GB2312" w:cs="楷体_GB2312"/>
          <w:spacing w:val="8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spacing w:val="8"/>
          <w:kern w:val="0"/>
          <w:sz w:val="32"/>
          <w:szCs w:val="32"/>
        </w:rPr>
        <w:t>（二）依申请公开情况</w:t>
      </w:r>
    </w:p>
    <w:p>
      <w:pPr>
        <w:widowControl/>
        <w:spacing w:line="560" w:lineRule="exact"/>
        <w:ind w:firstLine="675"/>
        <w:jc w:val="left"/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  <w:t>依申请公开受理渠道多元化，继续完善依申请公开登记、备案及答复工作，相关资料留存。</w:t>
      </w:r>
      <w:r>
        <w:rPr>
          <w:rFonts w:hint="eastAsia" w:ascii="仿宋_GB2312" w:eastAsia="仿宋_GB2312"/>
          <w:sz w:val="32"/>
          <w:szCs w:val="32"/>
        </w:rPr>
        <w:t>2024年，我街道共收到10件依申请公开，其中当面申请4件、电子邮件申请4件、邮寄申请2件，按相关要求和规定时限答复处理10件，结转下年度继续办理0件。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  <w:t>未出现不出具答复告知书或答复超过法定期限、答复不规范、未全面答复申请内容情况。未出现因政府信息公开收到行政投诉、行政复议并被纠错现象，未出现因政府信息公开行政诉讼败诉情况。</w:t>
      </w:r>
    </w:p>
    <w:p>
      <w:pPr>
        <w:widowControl/>
        <w:spacing w:line="560" w:lineRule="exact"/>
        <w:ind w:firstLine="675"/>
        <w:jc w:val="left"/>
        <w:rPr>
          <w:rFonts w:hint="eastAsia" w:ascii="楷体_GB2312" w:hAnsi="楷体_GB2312" w:eastAsia="楷体_GB2312" w:cs="楷体_GB2312"/>
          <w:spacing w:val="8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spacing w:val="8"/>
          <w:kern w:val="0"/>
          <w:sz w:val="32"/>
          <w:szCs w:val="32"/>
        </w:rPr>
        <w:t>（三）政府信息管理</w:t>
      </w:r>
    </w:p>
    <w:p>
      <w:pPr>
        <w:widowControl/>
        <w:spacing w:line="560" w:lineRule="exact"/>
        <w:ind w:firstLine="675"/>
        <w:jc w:val="left"/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  <w:t>加强重视政府信息公开工作，积极安排部署，建立完善由分管领导把关审核等相关机制，继续贯彻依法公开、注重实效、监督有力三个原则，明确政务公开的内容、公开方式等，积极有序地开展政府信息公开工作。</w:t>
      </w:r>
    </w:p>
    <w:p>
      <w:pPr>
        <w:widowControl/>
        <w:spacing w:line="560" w:lineRule="exact"/>
        <w:ind w:firstLine="675"/>
        <w:jc w:val="left"/>
        <w:rPr>
          <w:rFonts w:hint="eastAsia" w:ascii="楷体_GB2312" w:hAnsi="楷体_GB2312" w:eastAsia="楷体_GB2312" w:cs="楷体_GB2312"/>
          <w:spacing w:val="8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spacing w:val="8"/>
          <w:kern w:val="0"/>
          <w:sz w:val="32"/>
          <w:szCs w:val="32"/>
        </w:rPr>
        <w:t>（四）政府信息公开平台建设</w:t>
      </w:r>
    </w:p>
    <w:p>
      <w:pPr>
        <w:widowControl/>
        <w:spacing w:line="560" w:lineRule="exact"/>
        <w:ind w:firstLine="675"/>
        <w:jc w:val="left"/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  <w:t>一是规范政府信息公开载体。注重规范、完善政务公开全清单，畅通政府网站、政务新媒体等政府信息公开渠道，分机构信息、政务公开、工作信息等方面，最大限度方便群众及时获取政府信息。</w:t>
      </w:r>
    </w:p>
    <w:p>
      <w:pPr>
        <w:widowControl/>
        <w:spacing w:line="560" w:lineRule="exact"/>
        <w:ind w:firstLine="675"/>
        <w:jc w:val="left"/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  <w:t>二是充分利用“新村街区”微信公众号，发布政策宣传、街道工作、社区生活等各类信息共计发布478期1545条内容，其中原创内容537条，转载内容1008条，对比去年同期情况今年发布量增长了2.5倍，原创量增长了1.9倍。其中被人民日报、北京日报、丰台报、北京组工、北京丰台公众号等各类媒体采纳142余篇（条）。</w:t>
      </w:r>
    </w:p>
    <w:p>
      <w:pPr>
        <w:widowControl/>
        <w:spacing w:line="560" w:lineRule="exact"/>
        <w:ind w:firstLine="675"/>
        <w:jc w:val="left"/>
        <w:rPr>
          <w:rFonts w:hint="eastAsia" w:ascii="楷体_GB2312" w:hAnsi="楷体_GB2312" w:eastAsia="楷体_GB2312" w:cs="楷体_GB2312"/>
          <w:spacing w:val="8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spacing w:val="8"/>
          <w:kern w:val="0"/>
          <w:sz w:val="32"/>
          <w:szCs w:val="32"/>
        </w:rPr>
        <w:t>（五）教育培训</w:t>
      </w:r>
    </w:p>
    <w:p>
      <w:pPr>
        <w:widowControl/>
        <w:spacing w:line="560" w:lineRule="exact"/>
        <w:ind w:firstLine="675"/>
        <w:jc w:val="left"/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  <w:t>积极参加区政务服务局组织的政府信息公开各项培训工作，并结合工作实际，进一步推进涉及公众性信息的全面及时发布。继续完善各部门、社区（村）信息报送机制和信息员制度，进一步提升信息公开业务水平，确保高质量完成各项工作任务，继续加强对信息公开工作的日常指导和监督检查。</w:t>
      </w:r>
    </w:p>
    <w:p>
      <w:pPr>
        <w:numPr>
          <w:ilvl w:val="0"/>
          <w:numId w:val="1"/>
        </w:numPr>
        <w:spacing w:line="560" w:lineRule="exact"/>
        <w:ind w:firstLine="64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主动公开政府信息情况</w:t>
      </w:r>
    </w:p>
    <w:p>
      <w:pPr>
        <w:pStyle w:val="5"/>
      </w:pPr>
    </w:p>
    <w:p>
      <w:pPr>
        <w:pStyle w:val="5"/>
      </w:pPr>
    </w:p>
    <w:tbl>
      <w:tblPr>
        <w:tblStyle w:val="8"/>
        <w:tblW w:w="9740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435"/>
        <w:gridCol w:w="2435"/>
        <w:gridCol w:w="2435"/>
        <w:gridCol w:w="243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第二十条第（一）项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信息内容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本年制发件数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本年废止件数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现行有效件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规章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　　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 　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ascii="Calibri" w:hAnsi="Calibri" w:cs="Calibri"/>
                <w:kern w:val="0"/>
                <w:szCs w:val="21"/>
                <w:lang w:bidi="ar"/>
              </w:rPr>
              <w:t> </w:t>
            </w:r>
            <w:r>
              <w:rPr>
                <w:rFonts w:hint="eastAsia" w:ascii="Calibri" w:hAnsi="Calibri" w:cs="Calibri"/>
                <w:kern w:val="0"/>
                <w:szCs w:val="21"/>
                <w:lang w:bidi="ar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行政规范性文件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　　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 　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ascii="Calibri" w:hAnsi="Calibri" w:cs="Calibri"/>
                <w:kern w:val="0"/>
                <w:szCs w:val="21"/>
                <w:lang w:bidi="ar"/>
              </w:rPr>
              <w:t> </w:t>
            </w:r>
            <w:r>
              <w:rPr>
                <w:rFonts w:hint="eastAsia" w:ascii="Calibri" w:hAnsi="Calibri" w:cs="Calibri"/>
                <w:kern w:val="0"/>
                <w:szCs w:val="21"/>
                <w:lang w:bidi="ar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第二十条第（五）项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本年处理决定数量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行政许可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ascii="Calibri" w:hAnsi="Calibri" w:cs="Calibri"/>
                <w:kern w:val="0"/>
                <w:szCs w:val="21"/>
                <w:lang w:bidi="ar"/>
              </w:rPr>
              <w:t> </w:t>
            </w:r>
            <w:r>
              <w:rPr>
                <w:rFonts w:hint="eastAsia" w:ascii="Calibri" w:hAnsi="Calibri" w:cs="Calibri"/>
                <w:kern w:val="0"/>
                <w:szCs w:val="21"/>
                <w:lang w:bidi="ar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第二十条第（六）项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本年处理决定数量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行政处罚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　1578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行政强制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　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第二十条第（八）项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本年收费金额（单位：万元）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行政事业性收费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/>
                <w:sz w:val="24"/>
                <w:szCs w:val="24"/>
              </w:rPr>
              <w:t>0</w:t>
            </w:r>
          </w:p>
        </w:tc>
      </w:tr>
    </w:tbl>
    <w:p>
      <w:pPr>
        <w:pStyle w:val="5"/>
      </w:pPr>
    </w:p>
    <w:p>
      <w:pPr>
        <w:pStyle w:val="5"/>
      </w:pPr>
    </w:p>
    <w:p>
      <w:pPr>
        <w:numPr>
          <w:ilvl w:val="0"/>
          <w:numId w:val="1"/>
        </w:numPr>
        <w:spacing w:line="560" w:lineRule="exact"/>
        <w:ind w:firstLine="64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收到和处理政府信息公开申请情况</w:t>
      </w:r>
    </w:p>
    <w:p>
      <w:pPr>
        <w:pStyle w:val="6"/>
        <w:widowControl/>
        <w:shd w:val="clear" w:color="auto" w:fill="FFFFFF"/>
        <w:spacing w:before="0" w:beforeAutospacing="0" w:after="0" w:afterAutospacing="0"/>
        <w:ind w:firstLine="420"/>
        <w:jc w:val="both"/>
        <w:rPr>
          <w:rFonts w:hint="eastAsia" w:ascii="宋体" w:hAnsi="宋体" w:cs="宋体"/>
          <w:color w:val="333333"/>
          <w:szCs w:val="24"/>
        </w:rPr>
      </w:pPr>
    </w:p>
    <w:tbl>
      <w:tblPr>
        <w:tblStyle w:val="8"/>
        <w:tblW w:w="9748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68"/>
        <w:gridCol w:w="943"/>
        <w:gridCol w:w="3219"/>
        <w:gridCol w:w="688"/>
        <w:gridCol w:w="688"/>
        <w:gridCol w:w="688"/>
        <w:gridCol w:w="688"/>
        <w:gridCol w:w="688"/>
        <w:gridCol w:w="688"/>
        <w:gridCol w:w="690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150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9BC2E6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ascii="楷体" w:hAnsi="楷体" w:eastAsia="楷体" w:cs="楷体"/>
                <w:kern w:val="0"/>
                <w:sz w:val="20"/>
                <w:szCs w:val="20"/>
                <w:lang w:bidi="ar"/>
              </w:rPr>
              <w:t>（本列数据的勾稽关系为：第一项加第二项之和，等于第三项加第四项之和）</w:t>
            </w:r>
          </w:p>
        </w:tc>
        <w:tc>
          <w:tcPr>
            <w:tcW w:w="4998" w:type="dxa"/>
            <w:gridSpan w:val="7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申请人情况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150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9BC2E6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71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自然人</w:t>
            </w:r>
          </w:p>
        </w:tc>
        <w:tc>
          <w:tcPr>
            <w:tcW w:w="357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法人或其他组织</w:t>
            </w:r>
          </w:p>
        </w:tc>
        <w:tc>
          <w:tcPr>
            <w:tcW w:w="714" w:type="dxa"/>
            <w:vMerge w:val="restart"/>
            <w:tcBorders>
              <w:top w:val="single" w:color="auto" w:sz="8" w:space="0"/>
              <w:left w:val="nil"/>
              <w:bottom w:val="outset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150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9BC2E6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71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商业</w:t>
            </w:r>
          </w:p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企业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科研</w:t>
            </w:r>
          </w:p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机构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社会公益组织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法律服务机构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其他</w:t>
            </w:r>
          </w:p>
        </w:tc>
        <w:tc>
          <w:tcPr>
            <w:tcW w:w="714" w:type="dxa"/>
            <w:vMerge w:val="continue"/>
            <w:tcBorders>
              <w:top w:val="single" w:color="auto" w:sz="8" w:space="0"/>
              <w:left w:val="nil"/>
              <w:bottom w:val="outset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150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一、本年新收政府信息公开申请数量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10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150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二、上年结转政府信息公开申请数量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85" w:type="dxa"/>
            <w:vMerge w:val="restart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三、本年度办理结果</w:t>
            </w:r>
          </w:p>
        </w:tc>
        <w:tc>
          <w:tcPr>
            <w:tcW w:w="4365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（一）予以公开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7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4365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（二）部分公开</w:t>
            </w:r>
            <w:r>
              <w:rPr>
                <w:rFonts w:ascii="楷体" w:hAnsi="楷体" w:eastAsia="楷体" w:cs="楷体"/>
                <w:kern w:val="0"/>
                <w:sz w:val="20"/>
                <w:szCs w:val="20"/>
                <w:lang w:bidi="ar"/>
              </w:rPr>
              <w:t>（区分处理的，只计这一情形，不计其他情形）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59" w:type="dxa"/>
            <w:vMerge w:val="restart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（三）不予公开</w:t>
            </w:r>
          </w:p>
        </w:tc>
        <w:tc>
          <w:tcPr>
            <w:tcW w:w="34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1.属于国家秘密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59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2.其他法律行政法规禁止公开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59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3.危及“三安全一稳定”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59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4.保护第三方合法权益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59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5.属于三类内部事务信息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59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6.属于四类过程性信息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59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7.属于行政执法案卷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59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8.属于行政查询事项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59" w:type="dxa"/>
            <w:vMerge w:val="restart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（四）无法提供</w:t>
            </w:r>
          </w:p>
        </w:tc>
        <w:tc>
          <w:tcPr>
            <w:tcW w:w="34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1.本机关不掌握相关政府信息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59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2.没有现成信息需要另行制作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59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3.补正后申请内容仍不明确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59" w:type="dxa"/>
            <w:vMerge w:val="restart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（五）不予处理</w:t>
            </w:r>
          </w:p>
        </w:tc>
        <w:tc>
          <w:tcPr>
            <w:tcW w:w="34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1.信访举报投诉类申请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59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2.重复申请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59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3.要求提供公开出版物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59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4.无正当理由大量反复申请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  <w:jc w:val="center"/>
        </w:trPr>
        <w:tc>
          <w:tcPr>
            <w:tcW w:w="785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59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5.要求行政机关确认或重新出具已获取信息</w:t>
            </w:r>
          </w:p>
        </w:tc>
        <w:tc>
          <w:tcPr>
            <w:tcW w:w="714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59" w:type="dxa"/>
            <w:vMerge w:val="restart"/>
            <w:tcBorders>
              <w:top w:val="outset" w:color="auto" w:sz="8" w:space="0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（六）其他处理</w:t>
            </w:r>
          </w:p>
        </w:tc>
        <w:tc>
          <w:tcPr>
            <w:tcW w:w="34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1.申请人无正当理由逾期不补正、行政机关不再处理其政府信息公开申请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59" w:type="dxa"/>
            <w:vMerge w:val="continue"/>
            <w:tcBorders>
              <w:top w:val="outset" w:color="auto" w:sz="8" w:space="0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2.申请人逾期未按收费通知要求缴纳费用、行政机关不再处理其政府信息公开申请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59" w:type="dxa"/>
            <w:vMerge w:val="continue"/>
            <w:tcBorders>
              <w:top w:val="outset" w:color="auto" w:sz="8" w:space="0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3.其他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4365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（七）总计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rPr>
                <w:rFonts w:hint="eastAsia"/>
              </w:rPr>
              <w:t>10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150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四、结转下年度继续办理</w:t>
            </w:r>
          </w:p>
        </w:tc>
        <w:tc>
          <w:tcPr>
            <w:tcW w:w="0" w:type="auto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jc w:val="center"/>
            </w:pPr>
            <w:bookmarkStart w:id="0" w:name="OLE_LINK1"/>
            <w:r>
              <w:rPr>
                <w:rFonts w:hint="eastAsia"/>
              </w:rPr>
              <w:t>0</w:t>
            </w:r>
            <w:bookmarkEnd w:id="0"/>
          </w:p>
        </w:tc>
        <w:tc>
          <w:tcPr>
            <w:tcW w:w="0" w:type="auto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0" w:type="auto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0" w:type="auto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0" w:type="auto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0" w:type="auto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0" w:type="auto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</w:tbl>
    <w:p>
      <w:pPr>
        <w:pStyle w:val="5"/>
        <w:ind w:left="420" w:leftChars="200"/>
      </w:pPr>
    </w:p>
    <w:p>
      <w:pPr>
        <w:pStyle w:val="5"/>
        <w:ind w:left="420" w:leftChars="200"/>
      </w:pPr>
    </w:p>
    <w:p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四、政府信息公开行政复议、行政诉讼情况（违建）</w:t>
      </w:r>
    </w:p>
    <w:p>
      <w:pPr>
        <w:widowControl/>
        <w:jc w:val="center"/>
      </w:pPr>
    </w:p>
    <w:tbl>
      <w:tblPr>
        <w:tblStyle w:val="8"/>
        <w:tblW w:w="9748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49"/>
        <w:gridCol w:w="649"/>
        <w:gridCol w:w="649"/>
        <w:gridCol w:w="649"/>
        <w:gridCol w:w="649"/>
        <w:gridCol w:w="649"/>
        <w:gridCol w:w="649"/>
        <w:gridCol w:w="650"/>
        <w:gridCol w:w="650"/>
        <w:gridCol w:w="650"/>
        <w:gridCol w:w="651"/>
        <w:gridCol w:w="651"/>
        <w:gridCol w:w="651"/>
        <w:gridCol w:w="651"/>
        <w:gridCol w:w="651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  <w:jc w:val="center"/>
        </w:trPr>
        <w:tc>
          <w:tcPr>
            <w:tcW w:w="3210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行政复议</w:t>
            </w:r>
          </w:p>
        </w:tc>
        <w:tc>
          <w:tcPr>
            <w:tcW w:w="6428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行政诉讼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  <w:jc w:val="center"/>
        </w:trPr>
        <w:tc>
          <w:tcPr>
            <w:tcW w:w="6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结果维持</w:t>
            </w:r>
          </w:p>
        </w:tc>
        <w:tc>
          <w:tcPr>
            <w:tcW w:w="6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结果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纠正</w:t>
            </w:r>
          </w:p>
        </w:tc>
        <w:tc>
          <w:tcPr>
            <w:tcW w:w="6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其他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结果</w:t>
            </w:r>
          </w:p>
        </w:tc>
        <w:tc>
          <w:tcPr>
            <w:tcW w:w="6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尚未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审结</w:t>
            </w:r>
          </w:p>
        </w:tc>
        <w:tc>
          <w:tcPr>
            <w:tcW w:w="6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总计</w:t>
            </w:r>
          </w:p>
        </w:tc>
        <w:tc>
          <w:tcPr>
            <w:tcW w:w="3213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未经复议直接起诉</w:t>
            </w:r>
          </w:p>
        </w:tc>
        <w:tc>
          <w:tcPr>
            <w:tcW w:w="3215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复议后起诉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  <w:jc w:val="center"/>
        </w:trPr>
        <w:tc>
          <w:tcPr>
            <w:tcW w:w="642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642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6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6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6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结果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维持</w:t>
            </w:r>
          </w:p>
        </w:tc>
        <w:tc>
          <w:tcPr>
            <w:tcW w:w="6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结果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纠正</w:t>
            </w:r>
          </w:p>
        </w:tc>
        <w:tc>
          <w:tcPr>
            <w:tcW w:w="6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其他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结果</w:t>
            </w:r>
          </w:p>
        </w:tc>
        <w:tc>
          <w:tcPr>
            <w:tcW w:w="6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尚未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审结</w:t>
            </w:r>
          </w:p>
        </w:tc>
        <w:tc>
          <w:tcPr>
            <w:tcW w:w="6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总计</w:t>
            </w:r>
          </w:p>
        </w:tc>
        <w:tc>
          <w:tcPr>
            <w:tcW w:w="6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结果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维持</w:t>
            </w:r>
          </w:p>
        </w:tc>
        <w:tc>
          <w:tcPr>
            <w:tcW w:w="6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结果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纠正</w:t>
            </w:r>
          </w:p>
        </w:tc>
        <w:tc>
          <w:tcPr>
            <w:tcW w:w="6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其他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结果</w:t>
            </w:r>
          </w:p>
        </w:tc>
        <w:tc>
          <w:tcPr>
            <w:tcW w:w="6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尚未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审结</w:t>
            </w:r>
          </w:p>
        </w:tc>
        <w:tc>
          <w:tcPr>
            <w:tcW w:w="6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  <w:jc w:val="center"/>
        </w:trPr>
        <w:tc>
          <w:tcPr>
            <w:tcW w:w="6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4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4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4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4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4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4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4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4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/>
                <w:sz w:val="24"/>
                <w:szCs w:val="24"/>
              </w:rPr>
              <w:t>0</w:t>
            </w:r>
          </w:p>
        </w:tc>
      </w:tr>
    </w:tbl>
    <w:p>
      <w:pPr>
        <w:widowControl/>
        <w:spacing w:line="560" w:lineRule="exact"/>
        <w:ind w:firstLine="672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黑体" w:hAnsi="黑体" w:eastAsia="黑体" w:cs="宋体"/>
          <w:spacing w:val="8"/>
          <w:kern w:val="0"/>
          <w:sz w:val="32"/>
          <w:szCs w:val="32"/>
        </w:rPr>
        <w:t>五、存在的主要问题及改进情况</w:t>
      </w:r>
    </w:p>
    <w:p>
      <w:pPr>
        <w:widowControl/>
        <w:spacing w:line="560" w:lineRule="exact"/>
        <w:ind w:firstLine="672" w:firstLineChars="200"/>
        <w:jc w:val="left"/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  <w:t>主要问题：一是由于工作人员分工调整，新负责同志政务信息公开工作</w:t>
      </w:r>
      <w:r>
        <w:rPr>
          <w:rFonts w:hint="eastAsia" w:ascii="仿宋_GB2312" w:hAnsi="仿宋_GB2312" w:eastAsia="仿宋_GB2312" w:cs="仿宋_GB2312"/>
          <w:sz w:val="32"/>
          <w:szCs w:val="32"/>
        </w:rPr>
        <w:t>业务能力有待进一步提高；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  <w:t>二是群众参与政务信息公开的积极性不强，政务信息公开工作宣传力度需进一步提升。</w:t>
      </w:r>
    </w:p>
    <w:p>
      <w:pPr>
        <w:widowControl/>
        <w:spacing w:line="560" w:lineRule="exact"/>
        <w:ind w:firstLine="672" w:firstLineChars="200"/>
        <w:jc w:val="left"/>
      </w:pP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  <w:t>下一步工作建议：一是进一步加强政务信息公开相关业务培训开展，提升工作人员专业能力；二是进一步加大宣传力度，拓宽信息公开渠道，利用好政府网站、微信公众号、微博等多种媒介，做好信息公开工作，倡导群众积极参与，提升群众满意度。</w:t>
      </w:r>
    </w:p>
    <w:p>
      <w:pPr>
        <w:widowControl/>
        <w:spacing w:line="560" w:lineRule="exact"/>
        <w:ind w:firstLine="675"/>
        <w:jc w:val="left"/>
        <w:rPr>
          <w:rFonts w:hint="eastAsia" w:ascii="宋体" w:hAnsi="宋体" w:cs="宋体"/>
          <w:spacing w:val="8"/>
          <w:kern w:val="0"/>
          <w:sz w:val="32"/>
          <w:szCs w:val="32"/>
        </w:rPr>
      </w:pPr>
      <w:r>
        <w:rPr>
          <w:rFonts w:ascii="黑体" w:hAnsi="黑体" w:eastAsia="黑体" w:cs="宋体"/>
          <w:spacing w:val="8"/>
          <w:kern w:val="0"/>
          <w:sz w:val="32"/>
          <w:szCs w:val="32"/>
        </w:rPr>
        <w:t>六、其他需要报告的事项</w:t>
      </w:r>
    </w:p>
    <w:p>
      <w:pPr>
        <w:ind w:firstLine="672"/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  <w:t>暂无其他需报告的事项。</w:t>
      </w:r>
    </w:p>
    <w:p>
      <w:pPr>
        <w:pStyle w:val="2"/>
        <w:ind w:firstLine="672"/>
        <w:jc w:val="right"/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val="en-US" w:eastAsia="zh-CN" w:bidi="ar-SA"/>
        </w:rPr>
        <w:t xml:space="preserve">                                   新村街道办事处</w:t>
      </w:r>
      <w:bookmarkStart w:id="1" w:name="_GoBack"/>
      <w:bookmarkEnd w:id="1"/>
    </w:p>
    <w:p>
      <w:pPr>
        <w:pStyle w:val="2"/>
        <w:jc w:val="right"/>
        <w:rPr>
          <w:rFonts w:hint="default" w:ascii="仿宋_GB2312" w:hAnsi="宋体" w:eastAsia="仿宋_GB2312" w:cs="宋体"/>
          <w:spacing w:val="8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val="en-US" w:eastAsia="zh-CN" w:bidi="ar-SA"/>
        </w:rPr>
        <w:t>2025年1月20日</w:t>
      </w:r>
    </w:p>
    <w:sectPr>
      <w:pgSz w:w="11906" w:h="16838"/>
      <w:pgMar w:top="2098" w:right="1474" w:bottom="1984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05AC0B2-E62A-4D86-B8EE-2B7F51001E1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394D7751-CD44-46E0-90F2-61853647C12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51DCDEC-22D4-4811-9017-DB228A6717F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548B440A-4B83-4664-B7A5-0E98BB65E81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DFA26BCF-4C6B-4C13-A30A-ABCBF99698A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1C5DF504-7C5B-40D1-8277-8400D6F564C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B0486F8A-FB49-4E28-BAB1-F93C7D4E246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46965DE2-EE12-48B2-8AFA-A7F56615C9B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6404B304-4AF2-4B9C-8FC9-1AD4DFEF87D2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0" w:fontKey="{AF89B11C-71BB-4335-98FC-688C37A4C8A3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DAFB1554-1474-4525-B762-553616F3B514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2" w:fontKey="{D61A33C4-C8F6-4584-937E-5394F41F9B7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FBF937"/>
    <w:multiLevelType w:val="singleLevel"/>
    <w:tmpl w:val="F8FBF937"/>
    <w:lvl w:ilvl="0" w:tentative="0">
      <w:start w:val="2"/>
      <w:numFmt w:val="chineseCounting"/>
      <w:suff w:val="nothing"/>
      <w:lvlText w:val="%1、"/>
      <w:lvlJc w:val="left"/>
      <w:pPr>
        <w:ind w:left="-1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FC300A"/>
    <w:rsid w:val="00192FF8"/>
    <w:rsid w:val="00655184"/>
    <w:rsid w:val="00E8140D"/>
    <w:rsid w:val="01245BEB"/>
    <w:rsid w:val="03873BFF"/>
    <w:rsid w:val="03DB3F15"/>
    <w:rsid w:val="04172F1D"/>
    <w:rsid w:val="05047F90"/>
    <w:rsid w:val="071B2F8F"/>
    <w:rsid w:val="0B810835"/>
    <w:rsid w:val="0CD9607C"/>
    <w:rsid w:val="0F882FF1"/>
    <w:rsid w:val="12933A53"/>
    <w:rsid w:val="1C533F85"/>
    <w:rsid w:val="204B79E7"/>
    <w:rsid w:val="21AE4866"/>
    <w:rsid w:val="25BC735E"/>
    <w:rsid w:val="29AD6068"/>
    <w:rsid w:val="2AE320C8"/>
    <w:rsid w:val="2D800F51"/>
    <w:rsid w:val="30C17195"/>
    <w:rsid w:val="30E83A54"/>
    <w:rsid w:val="367D6D08"/>
    <w:rsid w:val="37405B09"/>
    <w:rsid w:val="38CE6EC7"/>
    <w:rsid w:val="45336593"/>
    <w:rsid w:val="4C436DA5"/>
    <w:rsid w:val="560C09D4"/>
    <w:rsid w:val="56D06435"/>
    <w:rsid w:val="58076362"/>
    <w:rsid w:val="5D23053B"/>
    <w:rsid w:val="61FC300A"/>
    <w:rsid w:val="6C4B787F"/>
    <w:rsid w:val="6F962F63"/>
    <w:rsid w:val="7BF25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rPr>
      <w:rFonts w:eastAsia="仿宋_GB2312"/>
      <w:sz w:val="32"/>
    </w:rPr>
  </w:style>
  <w:style w:type="paragraph" w:styleId="4">
    <w:name w:val="annotation text"/>
    <w:basedOn w:val="1"/>
    <w:link w:val="11"/>
    <w:qFormat/>
    <w:uiPriority w:val="0"/>
    <w:pPr>
      <w:jc w:val="left"/>
    </w:pPr>
  </w:style>
  <w:style w:type="paragraph" w:styleId="5">
    <w:name w:val="Plain Text"/>
    <w:basedOn w:val="1"/>
    <w:qFormat/>
    <w:uiPriority w:val="0"/>
    <w:rPr>
      <w:rFonts w:ascii="宋体" w:hAnsi="Courier New"/>
    </w:rPr>
  </w:style>
  <w:style w:type="paragraph" w:styleId="6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7">
    <w:name w:val="annotation subject"/>
    <w:basedOn w:val="4"/>
    <w:next w:val="4"/>
    <w:link w:val="12"/>
    <w:qFormat/>
    <w:uiPriority w:val="0"/>
    <w:rPr>
      <w:b/>
      <w:bCs/>
    </w:rPr>
  </w:style>
  <w:style w:type="character" w:styleId="10">
    <w:name w:val="annotation reference"/>
    <w:basedOn w:val="9"/>
    <w:qFormat/>
    <w:uiPriority w:val="0"/>
    <w:rPr>
      <w:sz w:val="21"/>
      <w:szCs w:val="21"/>
    </w:rPr>
  </w:style>
  <w:style w:type="character" w:customStyle="1" w:styleId="11">
    <w:name w:val="批注文字 字符"/>
    <w:basedOn w:val="9"/>
    <w:link w:val="4"/>
    <w:qFormat/>
    <w:uiPriority w:val="0"/>
    <w:rPr>
      <w:kern w:val="2"/>
      <w:sz w:val="21"/>
      <w:szCs w:val="22"/>
    </w:rPr>
  </w:style>
  <w:style w:type="character" w:customStyle="1" w:styleId="12">
    <w:name w:val="批注主题 字符"/>
    <w:basedOn w:val="11"/>
    <w:link w:val="7"/>
    <w:qFormat/>
    <w:uiPriority w:val="0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374</Words>
  <Characters>2134</Characters>
  <Lines>17</Lines>
  <Paragraphs>5</Paragraphs>
  <TotalTime>2</TotalTime>
  <ScaleCrop>false</ScaleCrop>
  <LinksUpToDate>false</LinksUpToDate>
  <CharactersWithSpaces>2503</CharactersWithSpaces>
  <Application>WPS Office_11.8.2.12089_F1E327BC-269C-435d-A152-05C5408002CA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2025-01-06T09:38:00Z</dcterms:created>
  <dc:creator>lc</dc:creator>
  <cp:lastModifiedBy>Lenovo</cp:lastModifiedBy>
  <cp:lastPrinted>2025-01-13T07:05:00Z</cp:lastPrinted>
  <dcterms:modified xsi:type="dcterms:W3CDTF">2025-01-24T03:17:52Z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2052-11.8.2.12089</vt:lpwstr>
  </property>
  <property fmtid="{D5CDD505-2E9C-101B-9397-08002B2CF9AE}" pid="3" name="ICV">
    <vt:lpwstr>B1079FE9651B42BFB20199088A9CEF06</vt:lpwstr>
  </property>
  <property fmtid="{D5CDD505-2E9C-101B-9397-08002B2CF9AE}" pid="4" name="KSOTemplateDocerSaveRecord">
    <vt:lpwstr>eyJoZGlkIjoiOWIwMjJmOTY4OGZkOGE3ZWZjNjBjNThiZTMyMzdmOGQiLCJ1c2VySWQiOiI3MjcyOTg0MDIifQ==</vt:lpwstr>
  </property>
</Properties>
</file>