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9" w:line="560" w:lineRule="exact"/>
        <w:ind w:right="110" w:rightChars="0"/>
        <w:jc w:val="center"/>
        <w:textAlignment w:val="auto"/>
        <w:rPr>
          <w:rFonts w:hint="eastAsia" w:ascii="方正小标宋简体" w:eastAsia="方正小标宋简体"/>
          <w:sz w:val="44"/>
          <w:lang w:eastAsia="zh-CN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</w:rPr>
        <w:t>北京市丰台区</w:t>
      </w:r>
      <w:r>
        <w:rPr>
          <w:rFonts w:hint="eastAsia" w:ascii="方正小标宋简体" w:eastAsia="方正小标宋简体"/>
          <w:sz w:val="44"/>
          <w:lang w:eastAsia="zh-CN"/>
        </w:rPr>
        <w:t>人民政府</w:t>
      </w:r>
      <w:r>
        <w:rPr>
          <w:rFonts w:hint="eastAsia" w:ascii="方正小标宋简体" w:eastAsia="方正小标宋简体"/>
          <w:sz w:val="44"/>
        </w:rPr>
        <w:t>西罗园街道</w:t>
      </w:r>
      <w:r>
        <w:rPr>
          <w:rFonts w:hint="eastAsia" w:ascii="方正小标宋简体" w:eastAsia="方正小标宋简体"/>
          <w:sz w:val="44"/>
          <w:lang w:eastAsia="zh-CN"/>
        </w:rPr>
        <w:t>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9" w:line="560" w:lineRule="exact"/>
        <w:ind w:right="-110" w:rightChars="0"/>
        <w:jc w:val="center"/>
        <w:textAlignment w:val="auto"/>
        <w:rPr>
          <w:rFonts w:hint="eastAsia" w:ascii="方正小标宋简体" w:eastAsia="方正小标宋简体"/>
          <w:spacing w:val="-3"/>
          <w:sz w:val="44"/>
        </w:rPr>
      </w:pPr>
      <w:r>
        <w:rPr>
          <w:rFonts w:hint="eastAsia" w:ascii="方正小标宋简体" w:eastAsia="方正小标宋简体"/>
          <w:sz w:val="44"/>
        </w:rPr>
        <w:t>2021</w:t>
      </w:r>
      <w:r>
        <w:rPr>
          <w:rFonts w:hint="eastAsia" w:ascii="方正小标宋简体" w:eastAsia="方正小标宋简体"/>
          <w:spacing w:val="-3"/>
          <w:sz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9" w:line="560" w:lineRule="exact"/>
        <w:ind w:right="-110" w:rightChars="0"/>
        <w:jc w:val="center"/>
        <w:textAlignment w:val="auto"/>
        <w:rPr>
          <w:rFonts w:hint="eastAsia" w:ascii="方正小标宋简体" w:eastAsia="方正小标宋简体"/>
          <w:spacing w:val="-3"/>
          <w:sz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839" w:right="770" w:rightChars="0" w:firstLine="720"/>
        <w:textAlignment w:val="auto"/>
      </w:pPr>
      <w:r>
        <w:rPr>
          <w:spacing w:val="14"/>
          <w:w w:val="95"/>
        </w:rPr>
        <w:t>依据《中华人民共和国政府信息公开条例》(以下简</w:t>
      </w:r>
      <w:r>
        <w:rPr>
          <w:spacing w:val="15"/>
        </w:rPr>
        <w:t>称《政府信息公开条例》)第五十条规定，编制本报告。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60" w:lineRule="exact"/>
        <w:ind w:left="1511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一、总体情况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1480"/>
        <w:textAlignment w:val="auto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（一）组织领导情况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839" w:right="845" w:firstLine="640"/>
        <w:jc w:val="both"/>
        <w:textAlignment w:val="auto"/>
      </w:pPr>
      <w:r>
        <w:rPr>
          <w:spacing w:val="7"/>
        </w:rPr>
        <w:t>根据《中华人民共和国政府信息公开条例》，西罗园</w:t>
      </w:r>
      <w:r>
        <w:rPr>
          <w:spacing w:val="7"/>
          <w:w w:val="95"/>
        </w:rPr>
        <w:t>街道认真开展政务公开工作，健全以工委副书记、办事处</w:t>
      </w:r>
      <w:r>
        <w:rPr>
          <w:spacing w:val="-1"/>
        </w:rPr>
        <w:t>主任为组长，主管政务公开的副主任为常务副组长，机关各</w:t>
      </w:r>
      <w:r>
        <w:rPr>
          <w:spacing w:val="-2"/>
        </w:rPr>
        <w:t>职能处室负责人为成员的信息公开工作领导小组，领导小组下设办公室，明确专人负责信息公开工作。坚持便民原则，</w:t>
      </w:r>
      <w:r>
        <w:rPr>
          <w:rFonts w:hint="eastAsia"/>
          <w:spacing w:val="-3"/>
          <w:lang w:eastAsia="zh-CN"/>
        </w:rPr>
        <w:t>确保</w:t>
      </w:r>
      <w:r>
        <w:rPr>
          <w:spacing w:val="-3"/>
        </w:rPr>
        <w:t>政府信息公开工作的有效性、连续性、透明化。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480"/>
        <w:textAlignment w:val="auto"/>
        <w:rPr>
          <w:rFonts w:hint="eastAsia" w:ascii="楷体_GB2312" w:eastAsia="楷体_GB2312"/>
        </w:rPr>
      </w:pPr>
      <w:r>
        <w:t>（二）</w:t>
      </w:r>
      <w:r>
        <w:rPr>
          <w:rFonts w:hint="eastAsia" w:ascii="楷体_GB2312" w:eastAsia="楷体_GB2312"/>
        </w:rPr>
        <w:t>主动公开情况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839" w:right="860" w:firstLine="640"/>
        <w:jc w:val="both"/>
        <w:textAlignment w:val="auto"/>
      </w:pPr>
      <w:r>
        <w:rPr>
          <w:spacing w:val="12"/>
          <w:w w:val="95"/>
        </w:rPr>
        <w:t>西罗园街道利用网站及时更新政府机构信息</w:t>
      </w:r>
      <w:r>
        <w:rPr>
          <w:rFonts w:hint="eastAsia"/>
          <w:spacing w:val="12"/>
          <w:w w:val="95"/>
          <w:lang w:eastAsia="zh-CN"/>
        </w:rPr>
        <w:t>，</w:t>
      </w:r>
      <w:r>
        <w:rPr>
          <w:spacing w:val="-21"/>
        </w:rPr>
        <w:t>确保法定要素齐全。严格落实行政处罚和行政许可“双</w:t>
      </w:r>
      <w:r>
        <w:rPr>
          <w:spacing w:val="-8"/>
        </w:rPr>
        <w:t>公示”制度，按照执法工作进展情况实时公开执法过程，在</w:t>
      </w:r>
      <w:r>
        <w:rPr>
          <w:spacing w:val="-14"/>
        </w:rPr>
        <w:t>信用中国网站上公开行政处罚</w:t>
      </w:r>
      <w:r>
        <w:t>150</w:t>
      </w:r>
      <w:r>
        <w:rPr>
          <w:spacing w:val="-23"/>
        </w:rPr>
        <w:t>条</w:t>
      </w:r>
      <w:r>
        <w:rPr>
          <w:spacing w:val="-4"/>
        </w:rPr>
        <w:t>；在门户网站上依法公开《街道乡镇检查单》</w:t>
      </w:r>
      <w:r>
        <w:rPr>
          <w:rFonts w:hint="eastAsia"/>
          <w:spacing w:val="-4"/>
          <w:lang w:eastAsia="zh-CN"/>
        </w:rPr>
        <w:t>、</w:t>
      </w:r>
      <w:r>
        <w:rPr>
          <w:spacing w:val="-6"/>
        </w:rPr>
        <w:t>《专项检查单》等行政执法</w:t>
      </w:r>
      <w:r>
        <w:rPr>
          <w:spacing w:val="-14"/>
        </w:rPr>
        <w:t>相关信息</w:t>
      </w:r>
      <w:r>
        <w:t>11</w:t>
      </w:r>
      <w:r>
        <w:rPr>
          <w:spacing w:val="-4"/>
        </w:rPr>
        <w:t>条；第一、二、三、四季度执法检查、“双随</w:t>
      </w:r>
      <w:r>
        <w:rPr>
          <w:spacing w:val="-6"/>
        </w:rPr>
        <w:t>机”抽查主动公开</w:t>
      </w:r>
      <w:r>
        <w:t>17</w:t>
      </w:r>
      <w:r>
        <w:rPr>
          <w:spacing w:val="-4"/>
        </w:rPr>
        <w:t>条。通过丰台区政府门户网站公开、</w:t>
      </w:r>
      <w:r>
        <w:t>政务微博、政务微信共计公开500余条</w:t>
      </w:r>
      <w:r>
        <w:rPr>
          <w:rFonts w:hint="eastAsia"/>
          <w:lang w:eastAsia="zh-CN"/>
        </w:rPr>
        <w:t>，</w:t>
      </w:r>
      <w:r>
        <w:rPr>
          <w:spacing w:val="-5"/>
        </w:rPr>
        <w:t>为群众提供透明化服务。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1480"/>
        <w:textAlignment w:val="auto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（三）依申请公开办理情况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839" w:right="860" w:firstLine="640"/>
        <w:jc w:val="both"/>
        <w:textAlignment w:val="auto"/>
      </w:pPr>
      <w:r>
        <w:rPr>
          <w:spacing w:val="-14"/>
          <w:w w:val="95"/>
        </w:rPr>
        <w:t>西罗园街道同时开通当面、信函、网络申请等受理渠道，</w:t>
      </w:r>
      <w:r>
        <w:rPr>
          <w:spacing w:val="-12"/>
        </w:rPr>
        <w:t>确保依申请公开畅通，不断增强工作透明度，针对依申请公</w:t>
      </w:r>
      <w:r>
        <w:rPr>
          <w:spacing w:val="-7"/>
        </w:rPr>
        <w:t>开诉求，立即联系相关科室，给予帮助，使信息公开工作扎</w:t>
      </w:r>
      <w:r>
        <w:rPr>
          <w:spacing w:val="-18"/>
        </w:rPr>
        <w:t>实有序开展。</w:t>
      </w:r>
      <w:r>
        <w:rPr>
          <w:spacing w:val="-17"/>
        </w:rPr>
        <w:t>2021</w:t>
      </w:r>
      <w:r>
        <w:rPr>
          <w:spacing w:val="-4"/>
        </w:rPr>
        <w:t>年共接到依申请公开</w:t>
      </w:r>
      <w:r>
        <w:t>24</w:t>
      </w:r>
      <w:r>
        <w:rPr>
          <w:spacing w:val="-3"/>
        </w:rPr>
        <w:t>件，</w:t>
      </w:r>
      <w:r>
        <w:rPr>
          <w:rFonts w:hint="eastAsia"/>
          <w:spacing w:val="-3"/>
          <w:lang w:eastAsia="zh-CN"/>
        </w:rPr>
        <w:t>均</w:t>
      </w:r>
      <w:r>
        <w:rPr>
          <w:spacing w:val="-3"/>
        </w:rPr>
        <w:t>依法、按时、规范答复，并及时做好归档工作。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480"/>
        <w:textAlignment w:val="auto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（四）政府信息管理情况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840" w:right="699" w:firstLine="640"/>
        <w:textAlignment w:val="auto"/>
      </w:pPr>
      <w:r>
        <w:rPr>
          <w:spacing w:val="7"/>
        </w:rPr>
        <w:t>西罗园街道严格</w:t>
      </w:r>
      <w:r>
        <w:rPr>
          <w:spacing w:val="-3"/>
        </w:rPr>
        <w:t>根据《丰台区</w:t>
      </w:r>
      <w:r>
        <w:t>2021</w:t>
      </w:r>
      <w:r>
        <w:rPr>
          <w:spacing w:val="-3"/>
        </w:rPr>
        <w:t>年政务公开工作要点》开展信</w:t>
      </w:r>
      <w:r>
        <w:rPr>
          <w:spacing w:val="-6"/>
        </w:rPr>
        <w:t>息公开工作，不断细化工作能力，不断完善以街道市民服务</w:t>
      </w:r>
      <w:r>
        <w:rPr>
          <w:spacing w:val="-5"/>
        </w:rPr>
        <w:t>热线、部门电话、政府网站、政务新媒体等为支撑的政务咨</w:t>
      </w:r>
      <w:r>
        <w:rPr>
          <w:spacing w:val="-15"/>
          <w:w w:val="95"/>
        </w:rPr>
        <w:t>询服务体系</w:t>
      </w:r>
      <w:r>
        <w:rPr>
          <w:spacing w:val="-7"/>
        </w:rPr>
        <w:t>，严格执行核审制度，确保所公开的每条信息均经过保</w:t>
      </w:r>
      <w:r>
        <w:rPr>
          <w:spacing w:val="-5"/>
        </w:rPr>
        <w:t>密审查，坚持固定内容长期公开</w:t>
      </w:r>
      <w:r>
        <w:t>（社会救助</w:t>
      </w:r>
      <w:r>
        <w:rPr>
          <w:spacing w:val="-3"/>
        </w:rPr>
        <w:t>）；</w:t>
      </w:r>
      <w:r>
        <w:t>阶段性、临时性工作实时公开，提高人民群众知晓率。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480"/>
        <w:textAlignment w:val="auto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（五）政府信息公开平台建设情况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840" w:right="813" w:firstLine="640"/>
        <w:textAlignment w:val="auto"/>
      </w:pPr>
      <w:r>
        <w:t>西罗园街道严格按照市区政府工作要求，做好网站日常维护。根据市局网站管理集约化建设要求，首都之窗信息公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line="560" w:lineRule="exact"/>
        <w:ind w:left="840" w:right="845"/>
        <w:jc w:val="both"/>
        <w:textAlignment w:val="auto"/>
      </w:pPr>
      <w:r>
        <w:t>开专栏并入政府网站进行统一登陆、统一发布、统一管理。街道及时跟进，发布街道日常动态及重点领域信息</w:t>
      </w:r>
      <w:r>
        <w:rPr>
          <w:rFonts w:hint="eastAsia"/>
          <w:lang w:eastAsia="zh-CN"/>
        </w:rPr>
        <w:t>，</w:t>
      </w:r>
      <w:r>
        <w:t>保证信息内容的规范性、准确性和时效性。同时，发挥以微信公众号为平台宣传引导作用，做好疫情防控指引，举办线上活动，发布便民信息，提高街道的影响力。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480"/>
        <w:textAlignment w:val="auto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（六）政府信息公开监督保障及教育培训情况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840" w:right="699" w:firstLine="640"/>
        <w:textAlignment w:val="auto"/>
      </w:pPr>
      <w:r>
        <w:rPr>
          <w:spacing w:val="-1"/>
        </w:rPr>
        <w:t>街道信息公开领导小组深入学习了《中华人民共和国政</w:t>
      </w:r>
      <w:r>
        <w:rPr>
          <w:spacing w:val="-15"/>
        </w:rPr>
        <w:t>府信息公开条例》、《丰台区</w:t>
      </w:r>
      <w:r>
        <w:t>2021</w:t>
      </w:r>
      <w:r>
        <w:rPr>
          <w:spacing w:val="-5"/>
        </w:rPr>
        <w:t>年政务公开工作要点》。</w:t>
      </w:r>
      <w:r>
        <w:rPr>
          <w:spacing w:val="-7"/>
        </w:rPr>
        <w:t>积极参加市区组织的政务公开培训，组织街道、社区人员开展政务公开教育培训，不断增强干部的政务公开意识</w:t>
      </w:r>
      <w:r>
        <w:rPr>
          <w:rFonts w:hint="eastAsia"/>
          <w:spacing w:val="-7"/>
          <w:lang w:eastAsia="zh-CN"/>
        </w:rPr>
        <w:t>、</w:t>
      </w:r>
      <w:r>
        <w:rPr>
          <w:spacing w:val="-7"/>
        </w:rPr>
        <w:t>政务公开工作水平，促进我街道政务公开工作的常态化、制度化、规范化。</w:t>
      </w:r>
    </w:p>
    <w:p>
      <w:pPr>
        <w:pStyle w:val="2"/>
        <w:spacing w:line="400" w:lineRule="exact"/>
        <w:ind w:left="1480"/>
        <w:rPr>
          <w:rFonts w:hint="eastAsia" w:ascii="黑体" w:eastAsia="黑体"/>
        </w:rPr>
      </w:pPr>
      <w:r>
        <w:rPr>
          <w:rFonts w:hint="eastAsia" w:ascii="黑体" w:eastAsia="黑体"/>
        </w:rPr>
        <w:t>二、主动公开政府信息情况</w: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4"/>
        <w:rPr>
          <w:rFonts w:ascii="黑体"/>
          <w:sz w:val="10"/>
        </w:rPr>
      </w:pPr>
    </w:p>
    <w:tbl>
      <w:tblPr>
        <w:tblStyle w:val="3"/>
        <w:tblW w:w="0" w:type="auto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0" w:type="dxa"/>
            <w:gridSpan w:val="4"/>
            <w:shd w:val="clear" w:color="auto" w:fill="9BC2E6"/>
          </w:tcPr>
          <w:p>
            <w:pPr>
              <w:pStyle w:val="7"/>
              <w:spacing w:before="41"/>
              <w:ind w:left="3948" w:right="39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BCD6ED"/>
          </w:tcPr>
          <w:p>
            <w:pPr>
              <w:pStyle w:val="7"/>
              <w:spacing w:before="41"/>
              <w:ind w:right="7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2435" w:type="dxa"/>
            <w:shd w:val="clear" w:color="auto" w:fill="DDEBF7"/>
          </w:tcPr>
          <w:p>
            <w:pPr>
              <w:pStyle w:val="7"/>
              <w:spacing w:before="41"/>
              <w:ind w:left="595" w:right="577"/>
              <w:jc w:val="center"/>
              <w:rPr>
                <w:sz w:val="20"/>
              </w:rPr>
            </w:pPr>
            <w:r>
              <w:rPr>
                <w:sz w:val="20"/>
              </w:rPr>
              <w:t>本年制发件数</w:t>
            </w:r>
          </w:p>
        </w:tc>
        <w:tc>
          <w:tcPr>
            <w:tcW w:w="2435" w:type="dxa"/>
            <w:shd w:val="clear" w:color="auto" w:fill="DDEBF7"/>
          </w:tcPr>
          <w:p>
            <w:pPr>
              <w:pStyle w:val="7"/>
              <w:spacing w:before="41"/>
              <w:ind w:left="593" w:right="578"/>
              <w:jc w:val="center"/>
              <w:rPr>
                <w:sz w:val="20"/>
              </w:rPr>
            </w:pPr>
            <w:r>
              <w:rPr>
                <w:sz w:val="20"/>
              </w:rPr>
              <w:t>本年废止件数</w:t>
            </w:r>
          </w:p>
        </w:tc>
        <w:tc>
          <w:tcPr>
            <w:tcW w:w="2435" w:type="dxa"/>
            <w:shd w:val="clear" w:color="auto" w:fill="DDEBF7"/>
          </w:tcPr>
          <w:p>
            <w:pPr>
              <w:pStyle w:val="7"/>
              <w:spacing w:before="41"/>
              <w:ind w:left="595" w:right="578"/>
              <w:jc w:val="center"/>
              <w:rPr>
                <w:sz w:val="20"/>
              </w:rPr>
            </w:pPr>
            <w:r>
              <w:rPr>
                <w:sz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5" w:type="dxa"/>
            <w:shd w:val="clear" w:color="auto" w:fill="BCD6ED"/>
          </w:tcPr>
          <w:p>
            <w:pPr>
              <w:pStyle w:val="7"/>
              <w:spacing w:before="151"/>
              <w:ind w:left="56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2435" w:type="dxa"/>
          </w:tcPr>
          <w:p>
            <w:pPr>
              <w:pStyle w:val="7"/>
              <w:spacing w:before="8"/>
              <w:rPr>
                <w:rFonts w:ascii="黑体"/>
                <w:sz w:val="19"/>
              </w:rPr>
            </w:pPr>
          </w:p>
          <w:p>
            <w:pPr>
              <w:pStyle w:val="7"/>
              <w:ind w:left="1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  <w:tc>
          <w:tcPr>
            <w:tcW w:w="2435" w:type="dxa"/>
          </w:tcPr>
          <w:p>
            <w:pPr>
              <w:pStyle w:val="7"/>
              <w:spacing w:before="8"/>
              <w:rPr>
                <w:rFonts w:ascii="黑体"/>
                <w:sz w:val="19"/>
              </w:rPr>
            </w:pPr>
          </w:p>
          <w:p>
            <w:pPr>
              <w:pStyle w:val="7"/>
              <w:ind w:left="1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  <w:tc>
          <w:tcPr>
            <w:tcW w:w="2435" w:type="dxa"/>
          </w:tcPr>
          <w:p>
            <w:pPr>
              <w:pStyle w:val="7"/>
              <w:spacing w:before="8"/>
              <w:rPr>
                <w:rFonts w:ascii="黑体"/>
                <w:sz w:val="19"/>
              </w:rPr>
            </w:pPr>
          </w:p>
          <w:p>
            <w:pPr>
              <w:pStyle w:val="7"/>
              <w:ind w:left="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5" w:type="dxa"/>
            <w:shd w:val="clear" w:color="auto" w:fill="BCD6ED"/>
          </w:tcPr>
          <w:p>
            <w:pPr>
              <w:pStyle w:val="7"/>
              <w:spacing w:before="152"/>
              <w:ind w:left="56"/>
              <w:rPr>
                <w:sz w:val="20"/>
              </w:rPr>
            </w:pPr>
            <w:r>
              <w:rPr>
                <w:sz w:val="20"/>
              </w:rPr>
              <w:t>行政规范性文件</w:t>
            </w:r>
          </w:p>
        </w:tc>
        <w:tc>
          <w:tcPr>
            <w:tcW w:w="2435" w:type="dxa"/>
          </w:tcPr>
          <w:p>
            <w:pPr>
              <w:pStyle w:val="7"/>
              <w:spacing w:before="9"/>
              <w:rPr>
                <w:rFonts w:ascii="黑体"/>
                <w:sz w:val="19"/>
              </w:rPr>
            </w:pPr>
          </w:p>
          <w:p>
            <w:pPr>
              <w:pStyle w:val="7"/>
              <w:ind w:left="1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  <w:tc>
          <w:tcPr>
            <w:tcW w:w="2435" w:type="dxa"/>
          </w:tcPr>
          <w:p>
            <w:pPr>
              <w:pStyle w:val="7"/>
              <w:spacing w:before="9"/>
              <w:rPr>
                <w:rFonts w:ascii="黑体"/>
                <w:sz w:val="19"/>
              </w:rPr>
            </w:pPr>
          </w:p>
          <w:p>
            <w:pPr>
              <w:pStyle w:val="7"/>
              <w:ind w:left="1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  <w:tc>
          <w:tcPr>
            <w:tcW w:w="2435" w:type="dxa"/>
          </w:tcPr>
          <w:p>
            <w:pPr>
              <w:pStyle w:val="7"/>
              <w:spacing w:before="9"/>
              <w:rPr>
                <w:rFonts w:ascii="黑体"/>
                <w:sz w:val="19"/>
              </w:rPr>
            </w:pPr>
          </w:p>
          <w:p>
            <w:pPr>
              <w:pStyle w:val="7"/>
              <w:ind w:left="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shd w:val="clear" w:color="auto" w:fill="9BC2E6"/>
          </w:tcPr>
          <w:p>
            <w:pPr>
              <w:pStyle w:val="7"/>
              <w:spacing w:before="43"/>
              <w:ind w:left="3948" w:right="39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35" w:type="dxa"/>
            <w:shd w:val="clear" w:color="auto" w:fill="BCD6ED"/>
          </w:tcPr>
          <w:p>
            <w:pPr>
              <w:pStyle w:val="7"/>
              <w:spacing w:before="93"/>
              <w:ind w:right="7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DDEBF7"/>
          </w:tcPr>
          <w:p>
            <w:pPr>
              <w:pStyle w:val="7"/>
              <w:spacing w:before="93"/>
              <w:ind w:left="2329" w:right="2314"/>
              <w:jc w:val="center"/>
              <w:rPr>
                <w:sz w:val="20"/>
              </w:rPr>
            </w:pPr>
            <w:r>
              <w:rPr>
                <w:sz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BCD6ED"/>
          </w:tcPr>
          <w:p>
            <w:pPr>
              <w:pStyle w:val="7"/>
              <w:spacing w:before="41"/>
              <w:ind w:left="56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7305" w:type="dxa"/>
            <w:gridSpan w:val="3"/>
          </w:tcPr>
          <w:p>
            <w:pPr>
              <w:pStyle w:val="7"/>
              <w:spacing w:before="5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shd w:val="clear" w:color="auto" w:fill="9BC2E6"/>
          </w:tcPr>
          <w:p>
            <w:pPr>
              <w:pStyle w:val="7"/>
              <w:spacing w:before="41"/>
              <w:ind w:left="3948" w:right="39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BCD6ED"/>
          </w:tcPr>
          <w:p>
            <w:pPr>
              <w:pStyle w:val="7"/>
              <w:spacing w:before="41"/>
              <w:ind w:right="7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DDEBF7"/>
          </w:tcPr>
          <w:p>
            <w:pPr>
              <w:pStyle w:val="7"/>
              <w:spacing w:before="41"/>
              <w:ind w:left="2329" w:right="2314"/>
              <w:jc w:val="center"/>
              <w:rPr>
                <w:sz w:val="20"/>
              </w:rPr>
            </w:pPr>
            <w:r>
              <w:rPr>
                <w:sz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BCD6ED"/>
          </w:tcPr>
          <w:p>
            <w:pPr>
              <w:pStyle w:val="7"/>
              <w:spacing w:before="41"/>
              <w:ind w:left="56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7305" w:type="dxa"/>
            <w:gridSpan w:val="3"/>
          </w:tcPr>
          <w:p>
            <w:pPr>
              <w:pStyle w:val="7"/>
              <w:spacing w:before="41"/>
              <w:ind w:left="256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BCD6ED"/>
          </w:tcPr>
          <w:p>
            <w:pPr>
              <w:pStyle w:val="7"/>
              <w:spacing w:before="41"/>
              <w:ind w:left="56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7305" w:type="dxa"/>
            <w:gridSpan w:val="3"/>
          </w:tcPr>
          <w:p>
            <w:pPr>
              <w:pStyle w:val="7"/>
              <w:spacing w:before="41"/>
              <w:ind w:left="25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shd w:val="clear" w:color="auto" w:fill="9BC2E6"/>
          </w:tcPr>
          <w:p>
            <w:pPr>
              <w:pStyle w:val="7"/>
              <w:spacing w:before="41"/>
              <w:ind w:left="3948" w:right="39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35" w:type="dxa"/>
            <w:shd w:val="clear" w:color="auto" w:fill="BCD6ED"/>
          </w:tcPr>
          <w:p>
            <w:pPr>
              <w:pStyle w:val="7"/>
              <w:spacing w:before="41"/>
              <w:ind w:right="7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DDEBF7"/>
          </w:tcPr>
          <w:p>
            <w:pPr>
              <w:pStyle w:val="7"/>
              <w:spacing w:before="41"/>
              <w:ind w:left="2331" w:right="2314"/>
              <w:jc w:val="center"/>
              <w:rPr>
                <w:sz w:val="20"/>
              </w:rPr>
            </w:pPr>
            <w:r>
              <w:rPr>
                <w:sz w:val="20"/>
              </w:rPr>
              <w:t>本年收费金额（单位：万元）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r:id="rId3" w:type="default"/>
          <w:pgSz w:w="11910" w:h="16840"/>
          <w:pgMar w:top="2098" w:right="940" w:bottom="1984" w:left="960" w:header="0" w:footer="993" w:gutter="0"/>
        </w:sectPr>
      </w:pPr>
    </w:p>
    <w:p>
      <w:pPr>
        <w:pStyle w:val="2"/>
        <w:ind w:left="103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6197600" cy="242570"/>
                <wp:effectExtent l="0" t="0" r="0" b="1270"/>
                <wp:docPr id="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0" cy="242570"/>
                          <a:chOff x="0" y="0"/>
                          <a:chExt cx="9760" cy="382"/>
                        </a:xfrm>
                      </wpg:grpSpPr>
                      <wps:wsp>
                        <wps:cNvPr id="2" name="直线 3"/>
                        <wps:cNvCnPr/>
                        <wps:spPr>
                          <a:xfrm>
                            <a:off x="0" y="372"/>
                            <a:ext cx="97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4"/>
                        <wps:cNvCnPr/>
                        <wps:spPr>
                          <a:xfrm>
                            <a:off x="10" y="2"/>
                            <a:ext cx="0" cy="36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5"/>
                        <wps:cNvCnPr/>
                        <wps:spPr>
                          <a:xfrm>
                            <a:off x="2445" y="2"/>
                            <a:ext cx="0" cy="36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6"/>
                        <wps:cNvCnPr/>
                        <wps:spPr>
                          <a:xfrm>
                            <a:off x="9750" y="2"/>
                            <a:ext cx="0" cy="36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7"/>
                        <wps:cNvSpPr txBox="1"/>
                        <wps:spPr>
                          <a:xfrm>
                            <a:off x="2502" y="72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ascii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8"/>
                        <wps:cNvSpPr txBox="1"/>
                        <wps:spPr>
                          <a:xfrm>
                            <a:off x="19" y="0"/>
                            <a:ext cx="2416" cy="362"/>
                          </a:xfrm>
                          <a:prstGeom prst="rect">
                            <a:avLst/>
                          </a:prstGeom>
                          <a:solidFill>
                            <a:srgbClr val="BCD6E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47" w:right="0" w:firstLine="0"/>
                                <w:jc w:val="left"/>
                                <w:rPr>
                                  <w:rFonts w:hint="eastAsia" w:ascii="宋体" w:eastAsia="宋体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0"/>
                                </w:rPr>
                                <w:t>行政事业性收费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19.1pt;width:488pt;" coordsize="9760,382" o:gfxdata="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DRiNTG1QAAAAQBAAAPAAAAAAAAAAEA&#10;IAAAACIAAABkcnMvZG93bnJldi54bWxQSwECFAAUAAAACACHTuJA3lYAhS8DAAD0DQAADgAAAAAA&#10;AAABACAAAAAkAQAAZHJzL2Uyb0RvYy54bWxQSwUGAAAAAAYABgBZAQAAxQYAAAAA&#10;">
                <o:lock v:ext="edit" aspectratio="f"/>
                <v:line id="直线 3" o:spid="_x0000_s1026" o:spt="20" style="position:absolute;left:0;top:372;height:0;width:9759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2;height:360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2445;top:2;height:360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9750;top:2;height:360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7" o:spid="_x0000_s1026" o:spt="202" type="#_x0000_t202" style="position:absolute;left:2502;top:72;height:240;width:14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ascii="宋体"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19;top:0;height:362;width:2416;" fillcolor="#BCD6ED" filled="t" stroked="f" coordsize="21600,21600" o:gfxdata="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/wG7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4"/>
                          <w:ind w:left="47" w:right="0" w:firstLine="0"/>
                          <w:jc w:val="left"/>
                          <w:rPr>
                            <w:rFonts w:hint="eastAsia" w:ascii="宋体" w:eastAsia="宋体"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sz w:val="20"/>
                          </w:rPr>
                          <w:t>行政事业性收费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216"/>
        <w:ind w:left="1480"/>
        <w:rPr>
          <w:rFonts w:hint="eastAsia" w:ascii="黑体" w:eastAsia="黑体"/>
        </w:rPr>
      </w:pPr>
      <w:r>
        <w:rPr>
          <w:rFonts w:hint="eastAsia" w:ascii="黑体" w:eastAsia="黑体"/>
        </w:rPr>
        <w:t>三、收到和处理政府信息公开申请情况</w:t>
      </w:r>
    </w:p>
    <w:p>
      <w:pPr>
        <w:pStyle w:val="2"/>
        <w:rPr>
          <w:rFonts w:ascii="黑体"/>
          <w:sz w:val="26"/>
        </w:rPr>
      </w:pPr>
    </w:p>
    <w:tbl>
      <w:tblPr>
        <w:tblStyle w:val="3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91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928" w:type="dxa"/>
            <w:gridSpan w:val="3"/>
            <w:vMerge w:val="restart"/>
            <w:shd w:val="clear" w:color="auto" w:fill="9BC2E6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spacing w:line="292" w:lineRule="auto"/>
              <w:ind w:left="108" w:right="8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5"/>
                <w:sz w:val="20"/>
              </w:rPr>
              <w:t>（</w:t>
            </w:r>
            <w:r>
              <w:rPr>
                <w:rFonts w:hint="eastAsia" w:ascii="楷体" w:eastAsia="楷体"/>
                <w:spacing w:val="-6"/>
                <w:w w:val="95"/>
                <w:sz w:val="20"/>
              </w:rPr>
              <w:t xml:space="preserve">本列数据的勾稽关系为：第一项加第二项之和，等于 </w:t>
            </w:r>
            <w:r>
              <w:rPr>
                <w:rFonts w:hint="eastAsia" w:ascii="楷体" w:eastAsia="楷体"/>
                <w:spacing w:val="-6"/>
                <w:sz w:val="20"/>
              </w:rPr>
              <w:t>第三项加第四项之和）</w:t>
            </w:r>
          </w:p>
        </w:tc>
        <w:tc>
          <w:tcPr>
            <w:tcW w:w="4820" w:type="dxa"/>
            <w:gridSpan w:val="7"/>
            <w:tcBorders>
              <w:bottom w:val="single" w:color="000000" w:sz="34" w:space="0"/>
            </w:tcBorders>
            <w:shd w:val="clear" w:color="auto" w:fill="9BC2E6"/>
          </w:tcPr>
          <w:p>
            <w:pPr>
              <w:pStyle w:val="7"/>
              <w:spacing w:before="29"/>
              <w:ind w:left="1889" w:right="1871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928" w:type="dxa"/>
            <w:gridSpan w:val="3"/>
            <w:vMerge w:val="continue"/>
            <w:tcBorders>
              <w:top w:val="nil"/>
            </w:tcBorders>
            <w:shd w:val="clear" w:color="auto" w:fill="9BC2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34" w:space="0"/>
            </w:tcBorders>
            <w:shd w:val="clear" w:color="auto" w:fill="9BC2E6"/>
          </w:tcPr>
          <w:p>
            <w:pPr>
              <w:pStyle w:val="7"/>
              <w:rPr>
                <w:rFonts w:ascii="黑体"/>
                <w:sz w:val="26"/>
              </w:rPr>
            </w:pPr>
          </w:p>
          <w:p>
            <w:pPr>
              <w:pStyle w:val="7"/>
              <w:spacing w:line="292" w:lineRule="auto"/>
              <w:ind w:left="244" w:right="127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34" w:space="0"/>
            </w:tcBorders>
            <w:shd w:val="clear" w:color="auto" w:fill="9BC2E6"/>
          </w:tcPr>
          <w:p>
            <w:pPr>
              <w:pStyle w:val="7"/>
              <w:spacing w:before="11"/>
              <w:ind w:left="1019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000000" w:sz="34" w:space="0"/>
            </w:tcBorders>
            <w:shd w:val="clear" w:color="auto" w:fill="9BC2E6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2"/>
              <w:rPr>
                <w:rFonts w:ascii="黑体"/>
                <w:sz w:val="18"/>
              </w:rPr>
            </w:pPr>
          </w:p>
          <w:p>
            <w:pPr>
              <w:pStyle w:val="7"/>
              <w:ind w:left="143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928" w:type="dxa"/>
            <w:gridSpan w:val="3"/>
            <w:vMerge w:val="continue"/>
            <w:tcBorders>
              <w:top w:val="nil"/>
            </w:tcBorders>
            <w:shd w:val="clear" w:color="auto" w:fill="9BC2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shd w:val="clear" w:color="auto" w:fill="9BC2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shd w:val="clear" w:color="auto" w:fill="9BC2E6"/>
          </w:tcPr>
          <w:p>
            <w:pPr>
              <w:pStyle w:val="7"/>
              <w:spacing w:before="5"/>
              <w:rPr>
                <w:rFonts w:ascii="黑体"/>
                <w:sz w:val="14"/>
              </w:rPr>
            </w:pPr>
          </w:p>
          <w:p>
            <w:pPr>
              <w:pStyle w:val="7"/>
              <w:spacing w:line="292" w:lineRule="auto"/>
              <w:ind w:left="143" w:right="123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88" w:type="dxa"/>
            <w:shd w:val="clear" w:color="auto" w:fill="9BC2E6"/>
          </w:tcPr>
          <w:p>
            <w:pPr>
              <w:pStyle w:val="7"/>
              <w:spacing w:before="5"/>
              <w:rPr>
                <w:rFonts w:ascii="黑体"/>
                <w:sz w:val="14"/>
              </w:rPr>
            </w:pPr>
          </w:p>
          <w:p>
            <w:pPr>
              <w:pStyle w:val="7"/>
              <w:spacing w:line="292" w:lineRule="auto"/>
              <w:ind w:left="142" w:right="125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688" w:type="dxa"/>
            <w:shd w:val="clear" w:color="auto" w:fill="9BC2E6"/>
          </w:tcPr>
          <w:p>
            <w:pPr>
              <w:pStyle w:val="7"/>
              <w:spacing w:before="28" w:line="292" w:lineRule="auto"/>
              <w:ind w:left="143" w:right="124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>
            <w:pPr>
              <w:pStyle w:val="7"/>
              <w:spacing w:line="255" w:lineRule="exact"/>
              <w:ind w:left="143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688" w:type="dxa"/>
            <w:shd w:val="clear" w:color="auto" w:fill="9BC2E6"/>
          </w:tcPr>
          <w:p>
            <w:pPr>
              <w:pStyle w:val="7"/>
              <w:spacing w:before="28" w:line="292" w:lineRule="auto"/>
              <w:ind w:left="144" w:right="123"/>
              <w:rPr>
                <w:sz w:val="20"/>
              </w:rPr>
            </w:pPr>
            <w:r>
              <w:rPr>
                <w:spacing w:val="-9"/>
                <w:sz w:val="20"/>
              </w:rPr>
              <w:t>法律</w:t>
            </w:r>
            <w:r>
              <w:rPr>
                <w:spacing w:val="-9"/>
                <w:w w:val="95"/>
                <w:sz w:val="20"/>
              </w:rPr>
              <w:t>服务</w:t>
            </w:r>
          </w:p>
          <w:p>
            <w:pPr>
              <w:pStyle w:val="7"/>
              <w:spacing w:line="255" w:lineRule="exact"/>
              <w:ind w:left="144"/>
              <w:rPr>
                <w:sz w:val="20"/>
              </w:rPr>
            </w:pPr>
            <w:r>
              <w:rPr>
                <w:w w:val="95"/>
                <w:sz w:val="20"/>
              </w:rPr>
              <w:t>机构</w:t>
            </w:r>
          </w:p>
        </w:tc>
        <w:tc>
          <w:tcPr>
            <w:tcW w:w="688" w:type="dxa"/>
            <w:shd w:val="clear" w:color="auto" w:fill="9BC2E6"/>
          </w:tcPr>
          <w:p>
            <w:pPr>
              <w:pStyle w:val="7"/>
              <w:spacing w:before="7"/>
              <w:rPr>
                <w:rFonts w:ascii="黑体"/>
                <w:sz w:val="26"/>
              </w:rPr>
            </w:pPr>
          </w:p>
          <w:p>
            <w:pPr>
              <w:pStyle w:val="7"/>
              <w:ind w:left="121" w:right="107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nil"/>
            </w:tcBorders>
            <w:shd w:val="clear" w:color="auto" w:fill="9BC2E6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28" w:type="dxa"/>
            <w:gridSpan w:val="3"/>
            <w:shd w:val="clear" w:color="auto" w:fill="BCD6ED"/>
          </w:tcPr>
          <w:p>
            <w:pPr>
              <w:pStyle w:val="7"/>
              <w:spacing w:before="27"/>
              <w:ind w:left="55"/>
              <w:rPr>
                <w:sz w:val="20"/>
              </w:rPr>
            </w:pPr>
            <w:r>
              <w:rPr>
                <w:sz w:val="20"/>
              </w:rPr>
              <w:t>一、本年新收政府信息公开申请数量</w:t>
            </w:r>
          </w:p>
        </w:tc>
        <w:tc>
          <w:tcPr>
            <w:tcW w:w="691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1"/>
              <w:ind w:left="224" w:right="20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28" w:type="dxa"/>
            <w:gridSpan w:val="3"/>
            <w:shd w:val="clear" w:color="auto" w:fill="BCD6ED"/>
          </w:tcPr>
          <w:p>
            <w:pPr>
              <w:pStyle w:val="7"/>
              <w:spacing w:before="29"/>
              <w:ind w:left="55"/>
              <w:rPr>
                <w:sz w:val="20"/>
              </w:rPr>
            </w:pPr>
            <w:r>
              <w:rPr>
                <w:sz w:val="20"/>
              </w:rPr>
              <w:t>二、上年结转政府信息公开申请数量</w:t>
            </w:r>
          </w:p>
        </w:tc>
        <w:tc>
          <w:tcPr>
            <w:tcW w:w="691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2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67" w:type="dxa"/>
            <w:vMerge w:val="restart"/>
            <w:shd w:val="clear" w:color="auto" w:fill="BCD6ED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159" w:line="292" w:lineRule="auto"/>
              <w:ind w:left="55" w:right="89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bottom w:val="single" w:color="000000" w:sz="34" w:space="0"/>
            </w:tcBorders>
            <w:shd w:val="clear" w:color="auto" w:fill="DDEBF7"/>
          </w:tcPr>
          <w:p>
            <w:pPr>
              <w:pStyle w:val="7"/>
              <w:spacing w:before="28"/>
              <w:ind w:left="56"/>
              <w:rPr>
                <w:sz w:val="20"/>
              </w:rPr>
            </w:pPr>
            <w:r>
              <w:rPr>
                <w:sz w:val="20"/>
              </w:rPr>
              <w:t>（一）予以公开</w:t>
            </w:r>
          </w:p>
        </w:tc>
        <w:tc>
          <w:tcPr>
            <w:tcW w:w="691" w:type="dxa"/>
          </w:tcPr>
          <w:p>
            <w:pPr>
              <w:pStyle w:val="7"/>
              <w:spacing w:before="41"/>
              <w:ind w:left="2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1"/>
              <w:ind w:left="224" w:right="20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1" w:type="dxa"/>
            <w:gridSpan w:val="2"/>
            <w:tcBorders>
              <w:top w:val="single" w:color="000000" w:sz="34" w:space="0"/>
              <w:bottom w:val="single" w:color="000000" w:sz="34" w:space="0"/>
            </w:tcBorders>
            <w:shd w:val="clear" w:color="auto" w:fill="DDEBF7"/>
          </w:tcPr>
          <w:p>
            <w:pPr>
              <w:pStyle w:val="7"/>
              <w:spacing w:before="10"/>
              <w:ind w:left="56"/>
              <w:rPr>
                <w:rFonts w:hint="eastAsia" w:ascii="楷体" w:eastAsia="楷体"/>
                <w:sz w:val="20"/>
              </w:rPr>
            </w:pPr>
            <w:r>
              <w:rPr>
                <w:sz w:val="20"/>
              </w:rPr>
              <w:t>（二）部分公开</w:t>
            </w:r>
            <w:r>
              <w:rPr>
                <w:rFonts w:hint="eastAsia" w:ascii="楷体" w:eastAsia="楷体"/>
                <w:sz w:val="20"/>
              </w:rPr>
              <w:t>（区分处理的，只计这一情形</w:t>
            </w:r>
          </w:p>
          <w:p>
            <w:pPr>
              <w:pStyle w:val="7"/>
              <w:spacing w:before="56"/>
              <w:ind w:left="56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不计其他情形）</w:t>
            </w:r>
          </w:p>
        </w:tc>
        <w:tc>
          <w:tcPr>
            <w:tcW w:w="691" w:type="dxa"/>
          </w:tcPr>
          <w:p>
            <w:pPr>
              <w:pStyle w:val="7"/>
              <w:spacing w:before="10" w:line="213" w:lineRule="exact"/>
              <w:ind w:left="-159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，</w:t>
            </w:r>
          </w:p>
          <w:p>
            <w:pPr>
              <w:pStyle w:val="7"/>
              <w:spacing w:line="186" w:lineRule="exact"/>
              <w:ind w:left="6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688" w:type="dxa"/>
          </w:tcPr>
          <w:p>
            <w:pPr>
              <w:pStyle w:val="7"/>
              <w:spacing w:before="18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180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18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180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180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24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34" w:space="0"/>
            </w:tcBorders>
            <w:shd w:val="clear" w:color="auto" w:fill="DDEBF7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3"/>
              <w:rPr>
                <w:rFonts w:ascii="黑体"/>
                <w:sz w:val="19"/>
              </w:rPr>
            </w:pPr>
          </w:p>
          <w:p>
            <w:pPr>
              <w:pStyle w:val="7"/>
              <w:spacing w:before="1" w:line="292" w:lineRule="auto"/>
              <w:ind w:left="56" w:right="65"/>
              <w:rPr>
                <w:sz w:val="20"/>
              </w:rPr>
            </w:pPr>
            <w:r>
              <w:rPr>
                <w:sz w:val="20"/>
              </w:rPr>
              <w:t>（三）不予公开</w:t>
            </w:r>
          </w:p>
        </w:tc>
        <w:tc>
          <w:tcPr>
            <w:tcW w:w="3218" w:type="dxa"/>
            <w:tcBorders>
              <w:top w:val="single" w:color="000000" w:sz="34" w:space="0"/>
            </w:tcBorders>
            <w:shd w:val="clear" w:color="auto" w:fill="DDEBF7"/>
          </w:tcPr>
          <w:p>
            <w:pPr>
              <w:pStyle w:val="7"/>
              <w:spacing w:before="10"/>
              <w:ind w:left="56"/>
              <w:rPr>
                <w:sz w:val="20"/>
              </w:rPr>
            </w:pPr>
            <w:r>
              <w:rPr>
                <w:sz w:val="20"/>
              </w:rPr>
              <w:t>1.属于国家秘密</w:t>
            </w:r>
          </w:p>
        </w:tc>
        <w:tc>
          <w:tcPr>
            <w:tcW w:w="691" w:type="dxa"/>
          </w:tcPr>
          <w:p>
            <w:pPr>
              <w:pStyle w:val="7"/>
              <w:spacing w:before="23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23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23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23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23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23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23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7"/>
              <w:ind w:left="56"/>
              <w:rPr>
                <w:sz w:val="20"/>
              </w:rPr>
            </w:pPr>
            <w:r>
              <w:rPr>
                <w:sz w:val="20"/>
              </w:rPr>
              <w:t>2.其他法律行政法规禁止公开</w:t>
            </w:r>
          </w:p>
        </w:tc>
        <w:tc>
          <w:tcPr>
            <w:tcW w:w="691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0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8"/>
              <w:ind w:left="56"/>
              <w:rPr>
                <w:sz w:val="20"/>
              </w:rPr>
            </w:pPr>
            <w:r>
              <w:rPr>
                <w:sz w:val="20"/>
              </w:rPr>
              <w:t>3.危及“三安全一稳定”</w:t>
            </w:r>
          </w:p>
        </w:tc>
        <w:tc>
          <w:tcPr>
            <w:tcW w:w="691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2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8"/>
              <w:ind w:left="56"/>
              <w:rPr>
                <w:sz w:val="20"/>
              </w:rPr>
            </w:pPr>
            <w:r>
              <w:rPr>
                <w:sz w:val="20"/>
              </w:rPr>
              <w:t>4.保护第三方合法权益</w:t>
            </w:r>
          </w:p>
        </w:tc>
        <w:tc>
          <w:tcPr>
            <w:tcW w:w="691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1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7"/>
              <w:ind w:left="56"/>
              <w:rPr>
                <w:sz w:val="20"/>
              </w:rPr>
            </w:pPr>
            <w:r>
              <w:rPr>
                <w:sz w:val="20"/>
              </w:rPr>
              <w:t>5.属于三类内部事务信息</w:t>
            </w:r>
          </w:p>
        </w:tc>
        <w:tc>
          <w:tcPr>
            <w:tcW w:w="691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0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8"/>
              <w:ind w:left="56"/>
              <w:rPr>
                <w:sz w:val="20"/>
              </w:rPr>
            </w:pPr>
            <w:r>
              <w:rPr>
                <w:sz w:val="20"/>
              </w:rPr>
              <w:t>6.属于四类过程性信息</w:t>
            </w:r>
          </w:p>
        </w:tc>
        <w:tc>
          <w:tcPr>
            <w:tcW w:w="691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2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8"/>
              <w:ind w:left="56"/>
              <w:rPr>
                <w:sz w:val="20"/>
              </w:rPr>
            </w:pPr>
            <w:r>
              <w:rPr>
                <w:sz w:val="20"/>
              </w:rPr>
              <w:t>7.属于行政执法案卷</w:t>
            </w:r>
          </w:p>
        </w:tc>
        <w:tc>
          <w:tcPr>
            <w:tcW w:w="691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1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7"/>
              <w:ind w:left="56"/>
              <w:rPr>
                <w:sz w:val="20"/>
              </w:rPr>
            </w:pPr>
            <w:r>
              <w:rPr>
                <w:sz w:val="20"/>
              </w:rPr>
              <w:t>8.属于行政查询事项</w:t>
            </w:r>
          </w:p>
        </w:tc>
        <w:tc>
          <w:tcPr>
            <w:tcW w:w="691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0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restart"/>
            <w:shd w:val="clear" w:color="auto" w:fill="DDEBF7"/>
          </w:tcPr>
          <w:p>
            <w:pPr>
              <w:pStyle w:val="7"/>
              <w:spacing w:before="11"/>
              <w:rPr>
                <w:rFonts w:ascii="黑体"/>
                <w:sz w:val="15"/>
              </w:rPr>
            </w:pPr>
          </w:p>
          <w:p>
            <w:pPr>
              <w:pStyle w:val="7"/>
              <w:spacing w:before="1" w:line="292" w:lineRule="auto"/>
              <w:ind w:left="56" w:right="65"/>
              <w:rPr>
                <w:sz w:val="20"/>
              </w:rPr>
            </w:pPr>
            <w:r>
              <w:rPr>
                <w:sz w:val="20"/>
              </w:rPr>
              <w:t>（四）无法提供</w:t>
            </w: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8"/>
              <w:ind w:left="56"/>
              <w:rPr>
                <w:sz w:val="20"/>
              </w:rPr>
            </w:pPr>
            <w:r>
              <w:rPr>
                <w:sz w:val="20"/>
              </w:rPr>
              <w:t>1.本机关不掌握相关政府信息</w:t>
            </w:r>
          </w:p>
        </w:tc>
        <w:tc>
          <w:tcPr>
            <w:tcW w:w="691" w:type="dxa"/>
          </w:tcPr>
          <w:p>
            <w:pPr>
              <w:pStyle w:val="7"/>
              <w:spacing w:before="42"/>
              <w:ind w:left="2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31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2"/>
              <w:ind w:left="224" w:right="20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8"/>
              <w:ind w:left="56"/>
              <w:rPr>
                <w:sz w:val="20"/>
              </w:rPr>
            </w:pPr>
            <w:r>
              <w:rPr>
                <w:sz w:val="20"/>
              </w:rPr>
              <w:t>2.没有现成信息需要另行制作</w:t>
            </w:r>
          </w:p>
        </w:tc>
        <w:tc>
          <w:tcPr>
            <w:tcW w:w="691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1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7"/>
              <w:ind w:left="56"/>
              <w:rPr>
                <w:sz w:val="20"/>
              </w:rPr>
            </w:pPr>
            <w:r>
              <w:rPr>
                <w:sz w:val="20"/>
              </w:rPr>
              <w:t>3.补正后申请内容仍不明确</w:t>
            </w:r>
          </w:p>
        </w:tc>
        <w:tc>
          <w:tcPr>
            <w:tcW w:w="691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0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restart"/>
            <w:shd w:val="clear" w:color="auto" w:fill="DDEBF7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spacing w:line="292" w:lineRule="auto"/>
              <w:ind w:left="56" w:right="65"/>
              <w:rPr>
                <w:sz w:val="20"/>
              </w:rPr>
            </w:pPr>
            <w:r>
              <w:rPr>
                <w:sz w:val="20"/>
              </w:rPr>
              <w:t>（五）不予处理</w:t>
            </w: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8"/>
              <w:ind w:left="56"/>
              <w:rPr>
                <w:sz w:val="20"/>
              </w:rPr>
            </w:pPr>
            <w:r>
              <w:rPr>
                <w:sz w:val="20"/>
              </w:rPr>
              <w:t>1.信访举报投诉类申请</w:t>
            </w:r>
          </w:p>
        </w:tc>
        <w:tc>
          <w:tcPr>
            <w:tcW w:w="691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2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8"/>
              <w:ind w:left="56"/>
              <w:rPr>
                <w:sz w:val="20"/>
              </w:rPr>
            </w:pPr>
            <w:r>
              <w:rPr>
                <w:sz w:val="20"/>
              </w:rPr>
              <w:t>2.重复申请</w:t>
            </w:r>
          </w:p>
        </w:tc>
        <w:tc>
          <w:tcPr>
            <w:tcW w:w="691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1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7"/>
              <w:ind w:left="56"/>
              <w:rPr>
                <w:sz w:val="20"/>
              </w:rPr>
            </w:pPr>
            <w:r>
              <w:rPr>
                <w:sz w:val="20"/>
              </w:rPr>
              <w:t>3.要求提供公开出版物</w:t>
            </w:r>
          </w:p>
        </w:tc>
        <w:tc>
          <w:tcPr>
            <w:tcW w:w="691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0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0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9"/>
              <w:ind w:left="56"/>
              <w:rPr>
                <w:sz w:val="20"/>
              </w:rPr>
            </w:pPr>
            <w:r>
              <w:rPr>
                <w:sz w:val="20"/>
              </w:rPr>
              <w:t>4.无正当理由大量反复申请</w:t>
            </w:r>
          </w:p>
        </w:tc>
        <w:tc>
          <w:tcPr>
            <w:tcW w:w="691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2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104" w:line="292" w:lineRule="auto"/>
              <w:ind w:left="56" w:right="36"/>
              <w:rPr>
                <w:sz w:val="20"/>
              </w:rPr>
            </w:pPr>
            <w:r>
              <w:rPr>
                <w:w w:val="95"/>
                <w:sz w:val="20"/>
              </w:rPr>
              <w:t>5.要求行政机关确认或重新出具已</w:t>
            </w:r>
            <w:r>
              <w:rPr>
                <w:sz w:val="20"/>
              </w:rPr>
              <w:t>获取信息</w:t>
            </w:r>
          </w:p>
        </w:tc>
        <w:tc>
          <w:tcPr>
            <w:tcW w:w="691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5"/>
              <w:rPr>
                <w:rFonts w:ascii="黑体"/>
                <w:sz w:val="21"/>
              </w:rPr>
            </w:pPr>
          </w:p>
          <w:p>
            <w:pPr>
              <w:pStyle w:val="7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5"/>
              <w:rPr>
                <w:rFonts w:ascii="黑体"/>
                <w:sz w:val="21"/>
              </w:rPr>
            </w:pPr>
          </w:p>
          <w:p>
            <w:pPr>
              <w:pStyle w:val="7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5"/>
              <w:rPr>
                <w:rFonts w:ascii="黑体"/>
                <w:sz w:val="21"/>
              </w:rPr>
            </w:pPr>
          </w:p>
          <w:p>
            <w:pPr>
              <w:pStyle w:val="7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5"/>
              <w:rPr>
                <w:rFonts w:ascii="黑体"/>
                <w:sz w:val="21"/>
              </w:rPr>
            </w:pPr>
          </w:p>
          <w:p>
            <w:pPr>
              <w:pStyle w:val="7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5"/>
              <w:rPr>
                <w:rFonts w:ascii="黑体"/>
                <w:sz w:val="21"/>
              </w:rPr>
            </w:pPr>
          </w:p>
          <w:p>
            <w:pPr>
              <w:pStyle w:val="7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1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restart"/>
            <w:shd w:val="clear" w:color="auto" w:fill="DDEBF7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7"/>
              <w:rPr>
                <w:rFonts w:ascii="黑体"/>
                <w:sz w:val="24"/>
              </w:rPr>
            </w:pPr>
          </w:p>
          <w:p>
            <w:pPr>
              <w:pStyle w:val="7"/>
              <w:spacing w:line="292" w:lineRule="auto"/>
              <w:ind w:left="56" w:right="65"/>
              <w:rPr>
                <w:sz w:val="20"/>
              </w:rPr>
            </w:pPr>
            <w:r>
              <w:rPr>
                <w:sz w:val="20"/>
              </w:rPr>
              <w:t>（六）其他处理</w:t>
            </w: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8" w:line="292" w:lineRule="auto"/>
              <w:ind w:left="56" w:righ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.申请人无正当理由逾期不补正、行</w:t>
            </w:r>
            <w:r>
              <w:rPr>
                <w:spacing w:val="6"/>
                <w:w w:val="95"/>
                <w:sz w:val="20"/>
              </w:rPr>
              <w:t>政机关不再处理其政府信息公开申</w:t>
            </w:r>
          </w:p>
          <w:p>
            <w:pPr>
              <w:pStyle w:val="7"/>
              <w:spacing w:line="255" w:lineRule="exact"/>
              <w:ind w:left="56"/>
              <w:rPr>
                <w:sz w:val="20"/>
              </w:rPr>
            </w:pPr>
            <w:r>
              <w:rPr>
                <w:w w:val="99"/>
                <w:sz w:val="20"/>
              </w:rPr>
              <w:t>请</w:t>
            </w:r>
          </w:p>
        </w:tc>
        <w:tc>
          <w:tcPr>
            <w:tcW w:w="691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7"/>
              <w:rPr>
                <w:rFonts w:ascii="黑体"/>
                <w:sz w:val="27"/>
              </w:rPr>
            </w:pPr>
          </w:p>
          <w:p>
            <w:pPr>
              <w:pStyle w:val="7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7"/>
              <w:rPr>
                <w:rFonts w:ascii="黑体"/>
                <w:sz w:val="27"/>
              </w:rPr>
            </w:pPr>
          </w:p>
          <w:p>
            <w:pPr>
              <w:pStyle w:val="7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7"/>
              <w:rPr>
                <w:rFonts w:ascii="黑体"/>
                <w:sz w:val="27"/>
              </w:rPr>
            </w:pPr>
          </w:p>
          <w:p>
            <w:pPr>
              <w:pStyle w:val="7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7"/>
              <w:rPr>
                <w:rFonts w:ascii="黑体"/>
                <w:sz w:val="27"/>
              </w:rPr>
            </w:pPr>
          </w:p>
          <w:p>
            <w:pPr>
              <w:pStyle w:val="7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7"/>
              <w:rPr>
                <w:rFonts w:ascii="黑体"/>
                <w:sz w:val="27"/>
              </w:rPr>
            </w:pPr>
          </w:p>
          <w:p>
            <w:pPr>
              <w:pStyle w:val="7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1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7"/>
              <w:ind w:left="56"/>
              <w:rPr>
                <w:sz w:val="20"/>
              </w:rPr>
            </w:pPr>
            <w:r>
              <w:rPr>
                <w:sz w:val="20"/>
              </w:rPr>
              <w:t>2.申请人逾期未按收费通知要求缴</w:t>
            </w:r>
          </w:p>
          <w:p>
            <w:pPr>
              <w:pStyle w:val="7"/>
              <w:spacing w:before="2" w:line="310" w:lineRule="atLeast"/>
              <w:ind w:left="56" w:right="36"/>
              <w:rPr>
                <w:sz w:val="20"/>
              </w:rPr>
            </w:pPr>
            <w:r>
              <w:rPr>
                <w:spacing w:val="-12"/>
                <w:sz w:val="20"/>
              </w:rPr>
              <w:t>纳费用、行政机关不再处理其政府信</w:t>
            </w:r>
            <w:r>
              <w:rPr>
                <w:sz w:val="20"/>
              </w:rPr>
              <w:t>息公开申请</w:t>
            </w:r>
          </w:p>
        </w:tc>
        <w:tc>
          <w:tcPr>
            <w:tcW w:w="691" w:type="dxa"/>
          </w:tcPr>
          <w:p>
            <w:pPr>
              <w:pStyle w:val="7"/>
              <w:spacing w:before="40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6"/>
              <w:rPr>
                <w:rFonts w:ascii="黑体"/>
                <w:sz w:val="27"/>
              </w:rPr>
            </w:pPr>
          </w:p>
          <w:p>
            <w:pPr>
              <w:pStyle w:val="7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6"/>
              <w:rPr>
                <w:rFonts w:ascii="黑体"/>
                <w:sz w:val="27"/>
              </w:rPr>
            </w:pPr>
          </w:p>
          <w:p>
            <w:pPr>
              <w:pStyle w:val="7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6"/>
              <w:rPr>
                <w:rFonts w:ascii="黑体"/>
                <w:sz w:val="27"/>
              </w:rPr>
            </w:pPr>
          </w:p>
          <w:p>
            <w:pPr>
              <w:pStyle w:val="7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6"/>
              <w:rPr>
                <w:rFonts w:ascii="黑体"/>
                <w:sz w:val="27"/>
              </w:rPr>
            </w:pPr>
          </w:p>
          <w:p>
            <w:pPr>
              <w:pStyle w:val="7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6"/>
              <w:rPr>
                <w:rFonts w:ascii="黑体"/>
                <w:sz w:val="27"/>
              </w:rPr>
            </w:pPr>
          </w:p>
          <w:p>
            <w:pPr>
              <w:pStyle w:val="7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0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shd w:val="clear" w:color="auto" w:fill="DDEBF7"/>
          </w:tcPr>
          <w:p>
            <w:pPr>
              <w:pStyle w:val="7"/>
              <w:spacing w:before="29"/>
              <w:ind w:left="56"/>
              <w:rPr>
                <w:sz w:val="20"/>
              </w:rPr>
            </w:pPr>
            <w:r>
              <w:rPr>
                <w:sz w:val="20"/>
              </w:rPr>
              <w:t>3.其他</w:t>
            </w:r>
          </w:p>
        </w:tc>
        <w:tc>
          <w:tcPr>
            <w:tcW w:w="691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2"/>
              <w:ind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2"/>
              <w:ind w:righ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76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1" w:type="dxa"/>
            <w:gridSpan w:val="2"/>
            <w:tcBorders>
              <w:bottom w:val="single" w:color="000000" w:sz="34" w:space="0"/>
            </w:tcBorders>
            <w:shd w:val="clear" w:color="auto" w:fill="DDEBF7"/>
          </w:tcPr>
          <w:p>
            <w:pPr>
              <w:pStyle w:val="7"/>
              <w:spacing w:before="28"/>
              <w:ind w:left="56"/>
              <w:rPr>
                <w:sz w:val="20"/>
              </w:rPr>
            </w:pPr>
            <w:r>
              <w:rPr>
                <w:sz w:val="20"/>
              </w:rPr>
              <w:t>（七）总计</w:t>
            </w:r>
          </w:p>
        </w:tc>
        <w:tc>
          <w:tcPr>
            <w:tcW w:w="691" w:type="dxa"/>
          </w:tcPr>
          <w:p>
            <w:pPr>
              <w:pStyle w:val="7"/>
              <w:spacing w:before="41"/>
              <w:ind w:left="2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right="2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8" w:type="dxa"/>
          </w:tcPr>
          <w:p>
            <w:pPr>
              <w:pStyle w:val="7"/>
              <w:spacing w:before="41"/>
              <w:ind w:left="6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89" w:type="dxa"/>
          </w:tcPr>
          <w:p>
            <w:pPr>
              <w:pStyle w:val="7"/>
              <w:spacing w:before="41"/>
              <w:ind w:left="224" w:right="20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</w:tr>
    </w:tbl>
    <w:p>
      <w:pPr>
        <w:spacing w:after="0"/>
        <w:jc w:val="center"/>
        <w:rPr>
          <w:rFonts w:ascii="Times New Roman"/>
          <w:sz w:val="20"/>
        </w:rPr>
        <w:sectPr>
          <w:pgSz w:w="11910" w:h="16840"/>
          <w:pgMar w:top="1420" w:right="940" w:bottom="1180" w:left="960" w:header="0" w:footer="993" w:gutter="0"/>
        </w:sectPr>
      </w:pPr>
    </w:p>
    <w:tbl>
      <w:tblPr>
        <w:tblStyle w:val="3"/>
        <w:tblW w:w="0" w:type="auto"/>
        <w:tblInd w:w="1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8"/>
        <w:gridCol w:w="691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492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D6ED"/>
          </w:tcPr>
          <w:p>
            <w:pPr>
              <w:pStyle w:val="7"/>
              <w:spacing w:before="79"/>
              <w:ind w:left="55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3" w:line="28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3" w:line="28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3" w:line="28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3" w:line="28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3" w:line="28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3" w:line="28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3" w:line="28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7"/>
        <w:rPr>
          <w:rFonts w:ascii="黑体"/>
          <w:sz w:val="14"/>
        </w:rPr>
      </w:pPr>
    </w:p>
    <w:p>
      <w:pPr>
        <w:pStyle w:val="2"/>
        <w:spacing w:before="54"/>
        <w:ind w:left="1480"/>
        <w:rPr>
          <w:rFonts w:hint="eastAsia" w:ascii="黑体" w:eastAsia="黑体"/>
        </w:rPr>
      </w:pPr>
      <w:r>
        <w:rPr>
          <w:rFonts w:hint="eastAsia" w:ascii="黑体" w:eastAsia="黑体"/>
        </w:rPr>
        <w:t>四、政府信息公开行政复议、行政诉讼情况</w:t>
      </w:r>
    </w:p>
    <w:p>
      <w:pPr>
        <w:pStyle w:val="2"/>
        <w:rPr>
          <w:rFonts w:ascii="黑体"/>
          <w:sz w:val="26"/>
        </w:rPr>
      </w:pPr>
    </w:p>
    <w:tbl>
      <w:tblPr>
        <w:tblStyle w:val="3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245" w:type="dxa"/>
            <w:gridSpan w:val="5"/>
            <w:shd w:val="clear" w:color="auto" w:fill="BCD6ED"/>
          </w:tcPr>
          <w:p>
            <w:pPr>
              <w:pStyle w:val="7"/>
              <w:spacing w:before="144"/>
              <w:ind w:left="1201" w:right="1183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BCD6ED"/>
          </w:tcPr>
          <w:p>
            <w:pPr>
              <w:pStyle w:val="7"/>
              <w:spacing w:before="144"/>
              <w:ind w:left="2831" w:right="2812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49" w:type="dxa"/>
            <w:vMerge w:val="restart"/>
          </w:tcPr>
          <w:p>
            <w:pPr>
              <w:pStyle w:val="7"/>
              <w:spacing w:before="2"/>
              <w:rPr>
                <w:rFonts w:ascii="黑体"/>
                <w:sz w:val="29"/>
              </w:rPr>
            </w:pPr>
          </w:p>
          <w:p>
            <w:pPr>
              <w:pStyle w:val="7"/>
              <w:spacing w:line="292" w:lineRule="auto"/>
              <w:ind w:left="122" w:right="105"/>
              <w:rPr>
                <w:sz w:val="20"/>
              </w:rPr>
            </w:pPr>
            <w:r>
              <w:rPr>
                <w:sz w:val="20"/>
              </w:rPr>
              <w:t>结果维持</w:t>
            </w:r>
          </w:p>
        </w:tc>
        <w:tc>
          <w:tcPr>
            <w:tcW w:w="649" w:type="dxa"/>
            <w:vMerge w:val="restart"/>
          </w:tcPr>
          <w:p>
            <w:pPr>
              <w:pStyle w:val="7"/>
              <w:spacing w:before="2"/>
              <w:rPr>
                <w:rFonts w:ascii="黑体"/>
                <w:sz w:val="29"/>
              </w:rPr>
            </w:pPr>
          </w:p>
          <w:p>
            <w:pPr>
              <w:pStyle w:val="7"/>
              <w:spacing w:line="292" w:lineRule="auto"/>
              <w:ind w:left="124" w:right="104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649" w:type="dxa"/>
            <w:vMerge w:val="restart"/>
          </w:tcPr>
          <w:p>
            <w:pPr>
              <w:pStyle w:val="7"/>
              <w:spacing w:before="2"/>
              <w:rPr>
                <w:rFonts w:ascii="黑体"/>
                <w:sz w:val="29"/>
              </w:rPr>
            </w:pPr>
          </w:p>
          <w:p>
            <w:pPr>
              <w:pStyle w:val="7"/>
              <w:spacing w:line="292" w:lineRule="auto"/>
              <w:ind w:left="123" w:right="105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649" w:type="dxa"/>
            <w:vMerge w:val="restart"/>
          </w:tcPr>
          <w:p>
            <w:pPr>
              <w:pStyle w:val="7"/>
              <w:spacing w:before="2"/>
              <w:rPr>
                <w:rFonts w:ascii="黑体"/>
                <w:sz w:val="29"/>
              </w:rPr>
            </w:pPr>
          </w:p>
          <w:p>
            <w:pPr>
              <w:pStyle w:val="7"/>
              <w:spacing w:line="292" w:lineRule="auto"/>
              <w:ind w:left="122" w:right="106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649" w:type="dxa"/>
            <w:vMerge w:val="restart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4"/>
              <w:rPr>
                <w:rFonts w:ascii="黑体"/>
                <w:sz w:val="21"/>
              </w:rPr>
            </w:pPr>
          </w:p>
          <w:p>
            <w:pPr>
              <w:pStyle w:val="7"/>
              <w:spacing w:before="1"/>
              <w:ind w:left="123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DDEBF7"/>
          </w:tcPr>
          <w:p>
            <w:pPr>
              <w:pStyle w:val="7"/>
              <w:spacing w:before="163"/>
              <w:ind w:left="823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DDEBF7"/>
          </w:tcPr>
          <w:p>
            <w:pPr>
              <w:pStyle w:val="7"/>
              <w:spacing w:before="163"/>
              <w:ind w:left="1106" w:right="1088"/>
              <w:jc w:val="center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>
            <w:pPr>
              <w:pStyle w:val="7"/>
              <w:spacing w:before="18" w:line="310" w:lineRule="atLeast"/>
              <w:ind w:left="122" w:right="106"/>
              <w:rPr>
                <w:sz w:val="20"/>
              </w:rPr>
            </w:pPr>
            <w:r>
              <w:rPr>
                <w:sz w:val="20"/>
              </w:rPr>
              <w:t>结果维持</w:t>
            </w:r>
          </w:p>
        </w:tc>
        <w:tc>
          <w:tcPr>
            <w:tcW w:w="649" w:type="dxa"/>
          </w:tcPr>
          <w:p>
            <w:pPr>
              <w:pStyle w:val="7"/>
              <w:spacing w:before="18" w:line="310" w:lineRule="atLeast"/>
              <w:ind w:left="124" w:right="104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650" w:type="dxa"/>
          </w:tcPr>
          <w:p>
            <w:pPr>
              <w:pStyle w:val="7"/>
              <w:spacing w:before="18" w:line="310" w:lineRule="atLeast"/>
              <w:ind w:left="125" w:right="104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650" w:type="dxa"/>
          </w:tcPr>
          <w:p>
            <w:pPr>
              <w:pStyle w:val="7"/>
              <w:spacing w:before="18" w:line="310" w:lineRule="atLeast"/>
              <w:ind w:left="123" w:right="106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650" w:type="dxa"/>
          </w:tcPr>
          <w:p>
            <w:pPr>
              <w:pStyle w:val="7"/>
              <w:spacing w:before="10"/>
              <w:rPr>
                <w:rFonts w:ascii="黑体"/>
                <w:sz w:val="17"/>
              </w:rPr>
            </w:pPr>
          </w:p>
          <w:p>
            <w:pPr>
              <w:pStyle w:val="7"/>
              <w:ind w:left="123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651" w:type="dxa"/>
          </w:tcPr>
          <w:p>
            <w:pPr>
              <w:pStyle w:val="7"/>
              <w:spacing w:before="18" w:line="310" w:lineRule="atLeast"/>
              <w:ind w:left="124" w:right="106"/>
              <w:rPr>
                <w:sz w:val="20"/>
              </w:rPr>
            </w:pPr>
            <w:r>
              <w:rPr>
                <w:sz w:val="20"/>
              </w:rPr>
              <w:t>结果维持</w:t>
            </w:r>
          </w:p>
        </w:tc>
        <w:tc>
          <w:tcPr>
            <w:tcW w:w="651" w:type="dxa"/>
          </w:tcPr>
          <w:p>
            <w:pPr>
              <w:pStyle w:val="7"/>
              <w:spacing w:before="18" w:line="310" w:lineRule="atLeast"/>
              <w:ind w:left="123" w:right="107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651" w:type="dxa"/>
          </w:tcPr>
          <w:p>
            <w:pPr>
              <w:pStyle w:val="7"/>
              <w:spacing w:before="18" w:line="310" w:lineRule="atLeast"/>
              <w:ind w:left="125" w:right="105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651" w:type="dxa"/>
          </w:tcPr>
          <w:p>
            <w:pPr>
              <w:pStyle w:val="7"/>
              <w:spacing w:before="18" w:line="310" w:lineRule="atLeast"/>
              <w:ind w:left="124" w:right="105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651" w:type="dxa"/>
          </w:tcPr>
          <w:p>
            <w:pPr>
              <w:pStyle w:val="7"/>
              <w:spacing w:before="10"/>
              <w:rPr>
                <w:rFonts w:ascii="黑体"/>
                <w:sz w:val="17"/>
              </w:rPr>
            </w:pPr>
          </w:p>
          <w:p>
            <w:pPr>
              <w:pStyle w:val="7"/>
              <w:ind w:left="124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372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49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172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49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173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49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374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49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373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49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173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49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174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50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173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50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19"/>
              <w:jc w:val="center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50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373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51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174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51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174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51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173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51" w:type="dxa"/>
          </w:tcPr>
          <w:p>
            <w:pPr>
              <w:pStyle w:val="7"/>
              <w:spacing w:before="4"/>
              <w:rPr>
                <w:rFonts w:ascii="黑体"/>
                <w:sz w:val="16"/>
              </w:rPr>
            </w:pPr>
          </w:p>
          <w:p>
            <w:pPr>
              <w:pStyle w:val="7"/>
              <w:ind w:left="175"/>
              <w:rPr>
                <w:rFonts w:ascii="黑体"/>
                <w:sz w:val="20"/>
              </w:rPr>
            </w:pPr>
            <w:r>
              <w:rPr>
                <w:rFonts w:ascii="黑体"/>
                <w:w w:val="99"/>
                <w:sz w:val="20"/>
              </w:rPr>
              <w:t>0</w:t>
            </w:r>
          </w:p>
        </w:tc>
        <w:tc>
          <w:tcPr>
            <w:tcW w:w="651" w:type="dxa"/>
          </w:tcPr>
          <w:p>
            <w:pPr>
              <w:pStyle w:val="7"/>
              <w:spacing w:before="184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2"/>
        <w:spacing w:before="6"/>
        <w:rPr>
          <w:rFonts w:ascii="黑体"/>
          <w:sz w:val="34"/>
        </w:rPr>
      </w:pPr>
    </w:p>
    <w:p>
      <w:pPr>
        <w:pStyle w:val="2"/>
        <w:ind w:left="1512"/>
        <w:rPr>
          <w:rFonts w:hint="eastAsia" w:ascii="黑体" w:eastAsia="黑体"/>
        </w:rPr>
      </w:pPr>
      <w:r>
        <w:rPr>
          <w:rFonts w:hint="eastAsia" w:ascii="黑体" w:eastAsia="黑体"/>
        </w:rPr>
        <w:t>五、存在的主要问题及改进情况</w:t>
      </w:r>
    </w:p>
    <w:p>
      <w:pPr>
        <w:pStyle w:val="2"/>
        <w:spacing w:before="130" w:line="364" w:lineRule="auto"/>
        <w:ind w:left="840" w:right="857" w:firstLine="640"/>
        <w:jc w:val="both"/>
      </w:pPr>
      <w:r>
        <w:rPr>
          <w:spacing w:val="-10"/>
        </w:rPr>
        <w:t xml:space="preserve">西罗园街道 </w:t>
      </w:r>
      <w:r>
        <w:t>2021</w:t>
      </w:r>
      <w:r>
        <w:rPr>
          <w:spacing w:val="-2"/>
        </w:rPr>
        <w:t xml:space="preserve"> 年的信息公开工作有了一定提升，尤</w:t>
      </w:r>
      <w:r>
        <w:rPr>
          <w:spacing w:val="-3"/>
        </w:rPr>
        <w:t>其在依申请公开工作及政务网站信息主动公开方面，相比去</w:t>
      </w:r>
      <w:r>
        <w:rPr>
          <w:spacing w:val="-5"/>
        </w:rPr>
        <w:t>年明显增加，但还存在着一些不足。一是公开信息的时效性</w:t>
      </w:r>
      <w:r>
        <w:rPr>
          <w:spacing w:val="4"/>
          <w:w w:val="95"/>
        </w:rPr>
        <w:t xml:space="preserve">不够强，不能保障信息的实时发布更新;二是主动公开政府 信息的数量还需要增加，公开的内容需要进一步细化;三是 </w:t>
      </w:r>
      <w:r>
        <w:rPr>
          <w:spacing w:val="-1"/>
        </w:rPr>
        <w:t>宣传和引导工作需要进一步加强，提告公众的参与度，提升</w:t>
      </w:r>
      <w:r>
        <w:rPr>
          <w:spacing w:val="11"/>
          <w:w w:val="95"/>
        </w:rPr>
        <w:t xml:space="preserve">政府信息公开工作的认识程度，满足公众对政府信息的需 </w:t>
      </w:r>
      <w:r>
        <w:rPr>
          <w:spacing w:val="11"/>
        </w:rPr>
        <w:t>求。</w:t>
      </w:r>
    </w:p>
    <w:p>
      <w:pPr>
        <w:pStyle w:val="2"/>
        <w:spacing w:before="25" w:line="328" w:lineRule="auto"/>
        <w:ind w:left="840" w:right="845" w:firstLine="470"/>
        <w:jc w:val="both"/>
      </w:pPr>
      <w:r>
        <w:t>2022</w:t>
      </w:r>
      <w:r>
        <w:rPr>
          <w:spacing w:val="-13"/>
        </w:rPr>
        <w:t xml:space="preserve"> 年，西罗园街道</w:t>
      </w:r>
      <w:r>
        <w:rPr>
          <w:b/>
        </w:rPr>
        <w:t>一是要加强信息公开的实效性及公开力度，</w:t>
      </w:r>
      <w:r>
        <w:t>坚持</w:t>
      </w:r>
      <w:r>
        <w:rPr>
          <w:rFonts w:ascii="Arial" w:hAnsi="Arial" w:eastAsia="Arial"/>
        </w:rPr>
        <w:t>“</w:t>
      </w:r>
      <w:r>
        <w:t>以公开为原则，不公开为例外</w:t>
      </w:r>
      <w:r>
        <w:rPr>
          <w:rFonts w:ascii="Arial" w:hAnsi="Arial" w:eastAsia="Arial"/>
        </w:rPr>
        <w:t>”</w:t>
      </w:r>
      <w:r>
        <w:t>的要求，认真</w:t>
      </w:r>
      <w:r>
        <w:rPr>
          <w:spacing w:val="-2"/>
        </w:rPr>
        <w:t xml:space="preserve">学习贯彻党的十九大精神，坚持围绕深化政务公开工作，积极推进政务服务建设，不断拓宽工作领域，深化公开内容， </w:t>
      </w:r>
      <w:r>
        <w:rPr>
          <w:spacing w:val="-4"/>
        </w:rPr>
        <w:t>丰富公开形式，促进政务公开工作自身建设和管理创新，依法依规按时对街道重点工作予以公开，方便群众了解和监</w:t>
      </w:r>
    </w:p>
    <w:p>
      <w:pPr>
        <w:spacing w:after="0" w:line="328" w:lineRule="auto"/>
        <w:jc w:val="both"/>
        <w:sectPr>
          <w:pgSz w:w="11910" w:h="16840"/>
          <w:pgMar w:top="1420" w:right="940" w:bottom="1180" w:left="960" w:header="0" w:footer="993" w:gutter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line="560" w:lineRule="exact"/>
        <w:ind w:left="840" w:right="860"/>
        <w:jc w:val="both"/>
        <w:textAlignment w:val="auto"/>
      </w:pPr>
      <w:r>
        <w:rPr>
          <w:spacing w:val="-3"/>
          <w:w w:val="95"/>
        </w:rPr>
        <w:t>督。</w:t>
      </w:r>
      <w:r>
        <w:rPr>
          <w:b/>
          <w:w w:val="95"/>
        </w:rPr>
        <w:t>二是拓宽群众参与渠道</w:t>
      </w:r>
      <w:r>
        <w:rPr>
          <w:spacing w:val="-4"/>
          <w:w w:val="95"/>
        </w:rPr>
        <w:t xml:space="preserve">，坚持问政于民、问需于民、问 </w:t>
      </w:r>
      <w:r>
        <w:rPr>
          <w:spacing w:val="-5"/>
          <w:w w:val="95"/>
        </w:rPr>
        <w:t xml:space="preserve">计于民，不断畅通群众获取信息的途径、方式，做到件件有 </w:t>
      </w:r>
      <w:r>
        <w:rPr>
          <w:spacing w:val="-5"/>
        </w:rPr>
        <w:t>着落，事事有回音。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60" w:lineRule="exact"/>
        <w:ind w:left="1514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六、其他需要报告的事项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line="560" w:lineRule="exact"/>
        <w:ind w:left="840" w:right="860" w:firstLine="588" w:firstLineChars="200"/>
        <w:jc w:val="both"/>
        <w:textAlignment w:val="auto"/>
        <w:rPr>
          <w:rFonts w:hint="eastAsia"/>
          <w:spacing w:val="-5"/>
          <w:w w:val="95"/>
        </w:rPr>
      </w:pPr>
      <w:r>
        <w:rPr>
          <w:rFonts w:hint="eastAsia"/>
          <w:spacing w:val="-5"/>
          <w:w w:val="95"/>
        </w:rPr>
        <w:t>发出收费通知的件数和总金额以及实际收取的总金额均为0。</w:t>
      </w:r>
    </w:p>
    <w:sectPr>
      <w:pgSz w:w="11910" w:h="16840"/>
      <w:pgMar w:top="1520" w:right="940" w:bottom="1180" w:left="960" w:header="0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9921240</wp:posOffset>
              </wp:positionV>
              <wp:extent cx="133350" cy="1524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2.4pt;margin-top:781.2pt;height:12pt;width:10.5pt;mso-position-horizontal-relative:page;mso-position-vertical-relative:page;z-index:-251656192;mso-width-relative:page;mso-height-relative:page;" filled="f" stroked="f" coordsize="21600,21600" o:gfxdata="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6RkGT2gAAAA0BAAAPAAAAAAAA&#10;AAEAIAAAACIAAABkcnMvZG93bnJldi54bWxQSwECFAAUAAAACACHTuJA7Va4dJ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77D71"/>
    <w:rsid w:val="100D46E4"/>
    <w:rsid w:val="26FA5B23"/>
    <w:rsid w:val="2CE77435"/>
    <w:rsid w:val="475A4431"/>
    <w:rsid w:val="4BB86094"/>
    <w:rsid w:val="799F7FD4"/>
    <w:rsid w:val="7BA47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2377</Words>
  <Characters>2431</Characters>
  <TotalTime>14</TotalTime>
  <ScaleCrop>false</ScaleCrop>
  <LinksUpToDate>false</LinksUpToDate>
  <CharactersWithSpaces>2443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2022-01-13T02:12:00Z</dcterms:created>
  <dc:creator>yanghongling</dc:creator>
  <cp:lastModifiedBy>KING</cp:lastModifiedBy>
  <dcterms:modified xsi:type="dcterms:W3CDTF">2022-01-20T07:13:38Z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2022-01-13T00:00:00Z</vt:filetime>
  </property>
  <property fmtid="{D5CDD505-2E9C-101B-9397-08002B2CF9AE}" pid="5" name="KSOProductBuildVer">
    <vt:lpwstr>2052-11.8.2.9022</vt:lpwstr>
  </property>
</Properties>
</file>