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pStyle w:val="4"/>
        <w:shd w:val="clear" w:color="auto" w:fill="FFFFFF"/>
        <w:spacing w:beforeAutospacing="0" w:afterAutospacing="0"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shd w:val="clear" w:color="auto" w:fill="FFFFFF"/>
        </w:rPr>
        <w:t>中关村科技园区丰台园管理委员会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2022年政府信息公开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spacing w:line="560" w:lineRule="exact"/>
        <w:ind w:firstLine="672" w:firstLineChars="200"/>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（一）</w:t>
      </w:r>
      <w:r>
        <w:rPr>
          <w:rFonts w:hint="eastAsia" w:ascii="仿宋" w:hAnsi="仿宋" w:eastAsia="仿宋" w:cs="仿宋"/>
          <w:color w:val="000000"/>
          <w:sz w:val="32"/>
          <w:szCs w:val="32"/>
          <w:shd w:val="clear" w:color="auto" w:fill="FFFFFF"/>
        </w:rPr>
        <w:t>组织领导</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园区工委管委高度重视政务信息公开工作，领导班子成员变动后，明确职责分工，及时调整更新组织机构，在抓好一般事务性信息公开工作基础上，规定凡是涉及本单位财政预决算、核心工作统筹、产业调整、企业招商引资等重点领域的内容都必须按照规定实施信息公开。 </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（二）</w:t>
      </w:r>
      <w:r>
        <w:rPr>
          <w:rFonts w:hint="eastAsia" w:ascii="仿宋" w:hAnsi="仿宋" w:eastAsia="仿宋" w:cs="仿宋"/>
          <w:color w:val="000000"/>
          <w:sz w:val="32"/>
          <w:szCs w:val="32"/>
          <w:shd w:val="clear" w:color="auto" w:fill="FFFFFF"/>
        </w:rPr>
        <w:t>依申请公开办理情况</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本年共收到政府信息公开申请1项，申请人为自然人，根据《中华人民共和国政府信息公开条例》相关规定，已进行答复。</w:t>
      </w:r>
    </w:p>
    <w:p>
      <w:pPr>
        <w:pStyle w:val="4"/>
        <w:numPr>
          <w:ilvl w:val="0"/>
          <w:numId w:val="0"/>
        </w:numPr>
        <w:shd w:val="clear" w:color="auto" w:fill="FFFFFF"/>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（三）</w:t>
      </w:r>
      <w:r>
        <w:rPr>
          <w:rFonts w:hint="eastAsia" w:ascii="仿宋" w:hAnsi="仿宋" w:eastAsia="仿宋" w:cs="仿宋"/>
          <w:color w:val="000000"/>
          <w:sz w:val="32"/>
          <w:szCs w:val="32"/>
          <w:shd w:val="clear" w:color="auto" w:fill="FFFFFF"/>
        </w:rPr>
        <w:t>政府信息公开平台建设情况</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园区2022年政府信息公开渠道主要为首都之窗北京市政府信息公开专栏和微信公众号。信息公开专栏公开信息322条。</w:t>
      </w:r>
      <w:r>
        <w:rPr>
          <w:rFonts w:hint="eastAsia" w:ascii="仿宋" w:hAnsi="仿宋" w:eastAsia="仿宋" w:cs="仿宋"/>
          <w:color w:val="000000" w:themeColor="text1"/>
          <w:sz w:val="32"/>
          <w:szCs w:val="32"/>
          <w:shd w:val="clear" w:color="auto" w:fill="FFFFFF"/>
          <w14:textFill>
            <w14:solidFill>
              <w14:schemeClr w14:val="tx1"/>
            </w14:solidFill>
          </w14:textFill>
        </w:rPr>
        <w:t>微信公众号“中关村丰台园”2022年累计发布消息519条。</w:t>
      </w:r>
    </w:p>
    <w:p>
      <w:pPr>
        <w:pStyle w:val="4"/>
        <w:shd w:val="clear" w:color="auto" w:fill="FFFFFF"/>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主动公开情况</w:t>
      </w:r>
    </w:p>
    <w:p>
      <w:pPr>
        <w:pStyle w:val="4"/>
        <w:shd w:val="clear" w:color="auto" w:fill="FFFFFF"/>
        <w:spacing w:beforeAutospacing="0" w:afterAutospacing="0" w:line="56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shd w:val="clear" w:color="auto" w:fill="FFFFFF"/>
        </w:rPr>
        <w:t>园区2022年政府信息公开渠道主要为首都之窗北京市政府信息公开专栏和微信公众号，</w:t>
      </w:r>
      <w:r>
        <w:rPr>
          <w:rFonts w:hint="eastAsia" w:ascii="仿宋" w:hAnsi="仿宋" w:eastAsia="仿宋" w:cs="仿宋"/>
          <w:color w:val="000000" w:themeColor="text1"/>
          <w:sz w:val="32"/>
          <w:szCs w:val="32"/>
          <w:shd w:val="clear" w:color="auto" w:fill="FFFFFF"/>
          <w14:textFill>
            <w14:solidFill>
              <w14:schemeClr w14:val="tx1"/>
            </w14:solidFill>
          </w14:textFill>
        </w:rPr>
        <w:t>其中政府信息公开专栏公开信息322条，微信公众号发布信息519条。本年规范性文件0件。政府集中采购项目数量15项，采购总金额118.4298万元。</w:t>
      </w:r>
    </w:p>
    <w:p>
      <w:pPr>
        <w:pStyle w:val="4"/>
        <w:shd w:val="clear" w:color="auto" w:fill="FFFFFF"/>
        <w:spacing w:beforeAutospacing="0" w:afterAutospacing="0" w:line="56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（五）</w:t>
      </w:r>
      <w:r>
        <w:rPr>
          <w:rFonts w:hint="eastAsia" w:ascii="仿宋" w:hAnsi="仿宋" w:eastAsia="仿宋" w:cs="仿宋"/>
          <w:color w:val="000000" w:themeColor="text1"/>
          <w:sz w:val="32"/>
          <w:szCs w:val="32"/>
          <w:shd w:val="clear" w:color="auto" w:fill="FFFFFF"/>
          <w14:textFill>
            <w14:solidFill>
              <w14:schemeClr w14:val="tx1"/>
            </w14:solidFill>
          </w14:textFill>
        </w:rPr>
        <w:t>政府信息资源的规范化、标准化管理情况</w:t>
      </w:r>
    </w:p>
    <w:p>
      <w:pPr>
        <w:pStyle w:val="4"/>
        <w:shd w:val="clear" w:color="auto" w:fill="FFFFFF"/>
        <w:spacing w:beforeAutospacing="0" w:afterAutospacing="0"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深入贯彻落实《北京市人民政府办公厅关于编制本市政务公开全清单标准有关工作的通知》，园区按要求修正调整信息公开全清单，包括领导介绍、机构设置、为政府信息资源的规范化、专题专栏等要素、标准化管理打下坚实基础。</w:t>
      </w:r>
    </w:p>
    <w:p>
      <w:pPr>
        <w:pStyle w:val="4"/>
        <w:shd w:val="clear" w:color="auto" w:fill="FFFFFF"/>
        <w:spacing w:beforeAutospacing="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（六）</w:t>
      </w:r>
      <w:r>
        <w:rPr>
          <w:rFonts w:hint="eastAsia" w:ascii="仿宋" w:hAnsi="仿宋" w:eastAsia="仿宋" w:cs="仿宋"/>
          <w:color w:val="000000"/>
          <w:sz w:val="32"/>
          <w:szCs w:val="32"/>
          <w:shd w:val="clear" w:color="auto" w:fill="FFFFFF"/>
        </w:rPr>
        <w:t>政府信息公开监督保障及教育培训情况</w:t>
      </w:r>
    </w:p>
    <w:p>
      <w:pPr>
        <w:pStyle w:val="4"/>
        <w:shd w:val="clear" w:color="auto" w:fill="FFFFFF"/>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按要求参加区2022年度政府网站和信息公开业务培训、政府网站集约化平台使用、对政府和政务新媒体错敏词的纠错、对依申请公开业务等事项进行了重点学习。</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6"/>
        <w:tblpPr w:leftFromText="180" w:rightFromText="180" w:vertAnchor="text" w:horzAnchor="page" w:tblpX="1334" w:tblpY="131"/>
        <w:tblOverlap w:val="never"/>
        <w:tblW w:w="9740" w:type="dxa"/>
        <w:tblInd w:w="0" w:type="dxa"/>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rPr>
                <w:rFonts w:ascii="宋体" w:hAnsi="宋体" w:cs="宋体"/>
                <w:color w:val="000000"/>
                <w:kern w:val="0"/>
                <w:sz w:val="20"/>
                <w:lang w:bidi="ar"/>
              </w:rPr>
            </w:pPr>
            <w:r>
              <w:rPr>
                <w:rFonts w:hint="eastAsia" w:ascii="宋体" w:hAnsi="宋体" w:cs="宋体"/>
                <w:color w:val="000000"/>
                <w:kern w:val="0"/>
                <w:sz w:val="20"/>
                <w:lang w:bidi="ar"/>
              </w:rPr>
              <w:t>第二十条第（一）项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rPr>
                <w:rFonts w:ascii="宋体" w:hAnsi="宋体" w:cs="宋体"/>
                <w:color w:val="000000"/>
                <w:kern w:val="0"/>
                <w:sz w:val="20"/>
                <w:lang w:bidi="ar"/>
              </w:rPr>
            </w:pPr>
            <w:r>
              <w:rPr>
                <w:rFonts w:hint="eastAsia" w:ascii="宋体" w:hAnsi="宋体" w:cs="宋体"/>
                <w:color w:val="000000"/>
                <w:kern w:val="0"/>
                <w:sz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现行有效件</w:t>
            </w:r>
            <w:r>
              <w:rPr>
                <w:rFonts w:hint="eastAsia" w:ascii="宋体" w:hAnsi="宋体" w:cs="宋体"/>
                <w:kern w:val="0"/>
                <w:sz w:val="20"/>
                <w:lang w:bidi="ar"/>
              </w:rPr>
              <w:t>数</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pPr>
            <w:r>
              <w:rPr>
                <w:rFonts w:hint="eastAsia" w:ascii="宋体" w:hAnsi="宋体" w:cs="宋体"/>
                <w:color w:val="000000"/>
                <w:kern w:val="0"/>
                <w:sz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jc w:val="left"/>
              <w:rPr>
                <w:rFonts w:hint="eastAsia" w:eastAsia="宋体"/>
                <w:lang w:eastAsia="zh-CN"/>
              </w:rPr>
            </w:pPr>
            <w:r>
              <w:rPr>
                <w:rFonts w:hint="eastAsia" w:cs="Calibri"/>
                <w:kern w:val="0"/>
                <w:szCs w:val="21"/>
                <w:lang w:val="en-US" w:eastAsia="zh-CN" w:bidi="ar"/>
              </w:rPr>
              <w:t>4</w:t>
            </w:r>
            <w:bookmarkStart w:id="0" w:name="_GoBack"/>
            <w:bookmarkEnd w:id="0"/>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第二十条第（五）项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本年处理决定数量</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第二十条第（六）项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本年处理决定数量</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center"/>
            </w:pPr>
            <w:r>
              <w:rPr>
                <w:rFonts w:hint="eastAsia" w:ascii="宋体" w:hAnsi="宋体" w:cs="宋体"/>
                <w:color w:val="000000"/>
                <w:kern w:val="0"/>
                <w:sz w:val="20"/>
                <w:lang w:bidi="ar"/>
              </w:rPr>
              <w:t>0</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jc w:val="center"/>
            </w:pPr>
            <w:r>
              <w:rPr>
                <w:rFonts w:hint="eastAsia" w:ascii="宋体" w:hAnsi="宋体" w:cs="宋体"/>
                <w:color w:val="000000"/>
                <w:kern w:val="0"/>
                <w:sz w:val="20"/>
                <w:lang w:bidi="ar"/>
              </w:rPr>
              <w:t>0</w:t>
            </w:r>
          </w:p>
        </w:tc>
      </w:tr>
      <w:tr>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color w:val="000000"/>
                <w:kern w:val="0"/>
                <w:sz w:val="20"/>
                <w:lang w:bidi="ar"/>
              </w:rPr>
              <w:t>第二十条第（八）项</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center"/>
            </w:pPr>
            <w:r>
              <w:rPr>
                <w:rFonts w:hint="eastAsia" w:ascii="宋体" w:hAnsi="宋体" w:cs="宋体"/>
                <w:color w:val="000000"/>
                <w:kern w:val="0"/>
                <w:sz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jc w:val="center"/>
            </w:pPr>
            <w:r>
              <w:rPr>
                <w:rFonts w:hint="eastAsia" w:ascii="宋体" w:hAnsi="宋体" w:cs="宋体"/>
                <w:color w:val="000000"/>
                <w:kern w:val="0"/>
                <w:sz w:val="20"/>
                <w:lang w:bidi="ar"/>
              </w:rPr>
              <w:t>本年收费金额（单位：万元）</w:t>
            </w:r>
          </w:p>
        </w:tc>
      </w:tr>
      <w:tr>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color w:val="000000"/>
                <w:kern w:val="0"/>
                <w:sz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szCs w:val="24"/>
              </w:rPr>
            </w:pPr>
            <w:r>
              <w:rPr>
                <w:rFonts w:hint="eastAsia" w:ascii="宋体"/>
                <w:sz w:val="24"/>
                <w:szCs w:val="24"/>
              </w:rPr>
              <w:t>0</w:t>
            </w:r>
          </w:p>
        </w:tc>
      </w:tr>
    </w:tbl>
    <w:p>
      <w:pPr>
        <w:pStyle w:val="2"/>
      </w:pPr>
    </w:p>
    <w:p>
      <w:pPr>
        <w:pStyle w:val="2"/>
      </w:pPr>
    </w:p>
    <w:p>
      <w:pPr>
        <w:pStyle w:val="2"/>
      </w:pPr>
    </w:p>
    <w:p>
      <w:pPr>
        <w:pStyle w:val="2"/>
      </w:pPr>
    </w:p>
    <w:p>
      <w:pPr>
        <w:pStyle w:val="2"/>
      </w:pPr>
    </w:p>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4"/>
        <w:shd w:val="clear" w:color="auto" w:fill="FFFFFF"/>
        <w:spacing w:before="0" w:beforeAutospacing="0" w:after="0" w:afterAutospacing="0"/>
        <w:ind w:firstLine="420"/>
        <w:jc w:val="both"/>
        <w:rPr>
          <w:rFonts w:ascii="宋体" w:hAnsi="宋体" w:cs="宋体"/>
          <w:color w:val="333333"/>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left"/>
            </w:pPr>
            <w:r>
              <w:rPr>
                <w:rFonts w:ascii="楷体" w:hAnsi="楷体" w:eastAsia="楷体" w:cs="楷体"/>
                <w:kern w:val="0"/>
                <w:sz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商业</w:t>
            </w:r>
          </w:p>
          <w:p>
            <w:pPr>
              <w:jc w:val="center"/>
            </w:pPr>
            <w:r>
              <w:rPr>
                <w:rFonts w:hint="eastAsia" w:ascii="宋体" w:hAnsi="宋体" w:cs="宋体"/>
                <w:kern w:val="0"/>
                <w:sz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科研</w:t>
            </w:r>
          </w:p>
          <w:p>
            <w:pPr>
              <w:jc w:val="center"/>
            </w:pPr>
            <w:r>
              <w:rPr>
                <w:rFonts w:hint="eastAsia" w:ascii="宋体" w:hAnsi="宋体" w:cs="宋体"/>
                <w:kern w:val="0"/>
                <w:sz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jc w:val="center"/>
            </w:pPr>
            <w:r>
              <w:rPr>
                <w:rFonts w:hint="eastAsia" w:ascii="宋体" w:hAnsi="宋体" w:cs="宋体"/>
                <w:kern w:val="0"/>
                <w:sz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jc w:val="center"/>
              <w:rPr>
                <w:rFonts w:hint="eastAsia" w:eastAsia="宋体"/>
                <w:lang w:eastAsia="zh-CN"/>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（二）部分公开</w:t>
            </w:r>
            <w:r>
              <w:rPr>
                <w:rFonts w:ascii="楷体" w:hAnsi="楷体" w:eastAsia="楷体" w:cs="楷体"/>
                <w:kern w:val="0"/>
                <w:sz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jc w:val="left"/>
            </w:pPr>
            <w:r>
              <w:rPr>
                <w:rFonts w:hint="eastAsia" w:ascii="宋体" w:hAnsi="宋体" w:cs="宋体"/>
                <w:kern w:val="0"/>
                <w:sz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outset" w:color="auto" w:sz="8" w:space="0"/>
              <w:right w:val="single" w:color="auto" w:sz="8" w:space="0"/>
            </w:tcBorders>
            <w:tcMar>
              <w:left w:w="57" w:type="dxa"/>
              <w:right w:w="57" w:type="dxa"/>
            </w:tcMar>
          </w:tcPr>
          <w:p>
            <w:pPr>
              <w:jc w:val="center"/>
              <w:rPr>
                <w:rFonts w:cs="Calibri"/>
                <w:kern w:val="0"/>
                <w:sz w:val="20"/>
                <w:lang w:bidi="ar"/>
              </w:rPr>
            </w:pPr>
          </w:p>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r>
              <w:rPr>
                <w:rFonts w:hint="eastAsia" w:ascii="宋体" w:hAnsi="宋体" w:cs="宋体"/>
                <w:kern w:val="0"/>
                <w:sz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jc w:val="left"/>
            </w:pPr>
            <w:r>
              <w:rPr>
                <w:rFonts w:hint="eastAsia" w:ascii="宋体" w:hAnsi="宋体" w:cs="宋体"/>
                <w:kern w:val="0"/>
                <w:sz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lang w:bidi="ar"/>
              </w:rPr>
              <w:t>0</w:t>
            </w:r>
          </w:p>
        </w:tc>
        <w:tc>
          <w:tcPr>
            <w:tcW w:w="689" w:type="dxa"/>
            <w:tcBorders>
              <w:top w:val="nil"/>
              <w:left w:val="nil"/>
              <w:bottom w:val="single" w:color="auto" w:sz="8" w:space="0"/>
              <w:right w:val="single" w:color="auto" w:sz="8" w:space="0"/>
            </w:tcBorders>
            <w:tcMar>
              <w:left w:w="57" w:type="dxa"/>
              <w:right w:w="57" w:type="dxa"/>
            </w:tcMar>
          </w:tcPr>
          <w:p>
            <w:pPr>
              <w:jc w:val="center"/>
            </w:pPr>
            <w:r>
              <w:rPr>
                <w:rFonts w:hint="eastAsia" w:cs="Calibri"/>
                <w:kern w:val="0"/>
                <w:sz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jc w:val="left"/>
            </w:pPr>
            <w:r>
              <w:rPr>
                <w:rFonts w:hint="eastAsia" w:ascii="宋体" w:hAnsi="宋体" w:cs="宋体"/>
                <w:kern w:val="0"/>
                <w:sz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cs="Calibri"/>
                <w:kern w:val="0"/>
                <w:sz w:val="20"/>
                <w:lang w:bidi="ar"/>
              </w:rPr>
              <w:t>0</w:t>
            </w:r>
          </w:p>
        </w:tc>
        <w:tc>
          <w:tcPr>
            <w:tcW w:w="689" w:type="dxa"/>
            <w:tcBorders>
              <w:top w:val="outset" w:color="auto" w:sz="6" w:space="0"/>
              <w:left w:val="nil"/>
              <w:bottom w:val="outset" w:color="auto" w:sz="6" w:space="0"/>
              <w:right w:val="outset" w:color="auto" w:sz="6" w:space="0"/>
            </w:tcBorders>
          </w:tcPr>
          <w:p>
            <w:pPr>
              <w:jc w:val="center"/>
              <w:rPr>
                <w:rFonts w:ascii="宋体"/>
                <w:sz w:val="24"/>
                <w:szCs w:val="24"/>
              </w:rPr>
            </w:pPr>
            <w:r>
              <w:rPr>
                <w:rFonts w:hint="eastAsia" w:cs="Calibri"/>
                <w:kern w:val="0"/>
                <w:sz w:val="20"/>
                <w:lang w:bidi="ar"/>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jc w:val="center"/>
      </w:pPr>
    </w:p>
    <w:tbl>
      <w:tblPr>
        <w:tblStyle w:val="6"/>
        <w:tblW w:w="98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3"/>
        <w:gridCol w:w="653"/>
        <w:gridCol w:w="653"/>
        <w:gridCol w:w="653"/>
        <w:gridCol w:w="656"/>
        <w:gridCol w:w="653"/>
        <w:gridCol w:w="653"/>
        <w:gridCol w:w="654"/>
        <w:gridCol w:w="654"/>
        <w:gridCol w:w="657"/>
        <w:gridCol w:w="655"/>
        <w:gridCol w:w="655"/>
        <w:gridCol w:w="655"/>
        <w:gridCol w:w="655"/>
        <w:gridCol w:w="6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jc w:val="center"/>
        </w:trPr>
        <w:tc>
          <w:tcPr>
            <w:tcW w:w="3268"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jc w:val="center"/>
            </w:pPr>
            <w:r>
              <w:rPr>
                <w:rFonts w:hint="eastAsia" w:ascii="宋体" w:hAnsi="宋体" w:cs="宋体"/>
                <w:kern w:val="0"/>
                <w:sz w:val="20"/>
                <w:lang w:bidi="ar"/>
              </w:rPr>
              <w:t>行政复议</w:t>
            </w:r>
          </w:p>
        </w:tc>
        <w:tc>
          <w:tcPr>
            <w:tcW w:w="6551"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jc w:val="center"/>
            </w:pPr>
            <w:r>
              <w:rPr>
                <w:rFonts w:hint="eastAsia" w:ascii="宋体" w:hAnsi="宋体" w:cs="宋体"/>
                <w:kern w:val="0"/>
                <w:sz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8" w:hRule="atLeast"/>
          <w:jc w:val="center"/>
        </w:trPr>
        <w:tc>
          <w:tcPr>
            <w:tcW w:w="65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结果维持</w:t>
            </w:r>
          </w:p>
        </w:tc>
        <w:tc>
          <w:tcPr>
            <w:tcW w:w="65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5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其他</w:t>
            </w:r>
            <w:r>
              <w:rPr>
                <w:rFonts w:hint="eastAsia" w:ascii="宋体" w:hAnsi="宋体" w:cs="宋体"/>
                <w:kern w:val="0"/>
                <w:sz w:val="20"/>
                <w:lang w:bidi="ar"/>
              </w:rPr>
              <w:br w:type="textWrapping"/>
            </w:r>
            <w:r>
              <w:rPr>
                <w:rFonts w:hint="eastAsia" w:ascii="宋体" w:hAnsi="宋体" w:cs="宋体"/>
                <w:kern w:val="0"/>
                <w:sz w:val="20"/>
                <w:lang w:bidi="ar"/>
              </w:rPr>
              <w:t>结果</w:t>
            </w:r>
          </w:p>
        </w:tc>
        <w:tc>
          <w:tcPr>
            <w:tcW w:w="65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kern w:val="0"/>
                <w:sz w:val="20"/>
                <w:lang w:bidi="ar"/>
              </w:rPr>
              <w:t>总计</w:t>
            </w:r>
          </w:p>
        </w:tc>
        <w:tc>
          <w:tcPr>
            <w:tcW w:w="3271"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jc w:val="center"/>
            </w:pPr>
            <w:r>
              <w:rPr>
                <w:rFonts w:hint="eastAsia" w:ascii="宋体" w:hAnsi="宋体" w:cs="宋体"/>
                <w:kern w:val="0"/>
                <w:sz w:val="20"/>
                <w:lang w:bidi="ar"/>
              </w:rPr>
              <w:t>未经复议直接起诉</w:t>
            </w:r>
          </w:p>
        </w:tc>
        <w:tc>
          <w:tcPr>
            <w:tcW w:w="328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jc w:val="center"/>
            </w:pPr>
            <w:r>
              <w:rPr>
                <w:rFonts w:hint="eastAsia" w:ascii="宋体" w:hAnsi="宋体" w:cs="宋体"/>
                <w:kern w:val="0"/>
                <w:sz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8" w:hRule="atLeast"/>
          <w:jc w:val="center"/>
        </w:trPr>
        <w:tc>
          <w:tcPr>
            <w:tcW w:w="653"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53"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5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5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维持</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其他</w:t>
            </w:r>
            <w:r>
              <w:rPr>
                <w:rFonts w:hint="eastAsia" w:ascii="宋体" w:hAnsi="宋体" w:cs="宋体"/>
                <w:kern w:val="0"/>
                <w:sz w:val="20"/>
                <w:lang w:bidi="ar"/>
              </w:rPr>
              <w:br w:type="textWrapping"/>
            </w:r>
            <w:r>
              <w:rPr>
                <w:rFonts w:hint="eastAsia" w:ascii="宋体" w:hAnsi="宋体" w:cs="宋体"/>
                <w:kern w:val="0"/>
                <w:sz w:val="20"/>
                <w:lang w:bidi="ar"/>
              </w:rPr>
              <w:t>结果</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总计</w:t>
            </w:r>
          </w:p>
        </w:tc>
        <w:tc>
          <w:tcPr>
            <w:tcW w:w="6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维持</w:t>
            </w:r>
          </w:p>
        </w:tc>
        <w:tc>
          <w:tcPr>
            <w:tcW w:w="6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结果</w:t>
            </w:r>
            <w:r>
              <w:rPr>
                <w:rFonts w:hint="eastAsia" w:ascii="宋体" w:hAnsi="宋体" w:cs="宋体"/>
                <w:kern w:val="0"/>
                <w:sz w:val="20"/>
                <w:lang w:bidi="ar"/>
              </w:rPr>
              <w:br w:type="textWrapping"/>
            </w:r>
            <w:r>
              <w:rPr>
                <w:rFonts w:hint="eastAsia" w:ascii="宋体" w:hAnsi="宋体" w:cs="宋体"/>
                <w:kern w:val="0"/>
                <w:sz w:val="20"/>
                <w:lang w:bidi="ar"/>
              </w:rPr>
              <w:t>纠正</w:t>
            </w:r>
          </w:p>
        </w:tc>
        <w:tc>
          <w:tcPr>
            <w:tcW w:w="6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其他</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结果</w:t>
            </w:r>
          </w:p>
        </w:tc>
        <w:tc>
          <w:tcPr>
            <w:tcW w:w="6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kern w:val="0"/>
                <w:sz w:val="20"/>
                <w:lang w:bidi="ar"/>
              </w:rPr>
              <w:t>尚未</w:t>
            </w:r>
            <w:r>
              <w:rPr>
                <w:rFonts w:hint="eastAsia" w:ascii="宋体" w:hAnsi="宋体" w:cs="宋体"/>
                <w:kern w:val="0"/>
                <w:sz w:val="20"/>
                <w:lang w:bidi="ar"/>
              </w:rPr>
              <w:br w:type="textWrapping"/>
            </w:r>
            <w:r>
              <w:rPr>
                <w:rFonts w:hint="eastAsia" w:ascii="宋体" w:hAnsi="宋体" w:cs="宋体"/>
                <w:kern w:val="0"/>
                <w:sz w:val="20"/>
                <w:lang w:bidi="ar"/>
              </w:rPr>
              <w:t>审结</w:t>
            </w:r>
          </w:p>
        </w:tc>
        <w:tc>
          <w:tcPr>
            <w:tcW w:w="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宋体" w:hAnsi="宋体" w:cs="宋体"/>
                <w:color w:val="000000"/>
                <w:kern w:val="0"/>
                <w:sz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4" w:hRule="atLeast"/>
          <w:jc w:val="center"/>
        </w:trPr>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6"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cs="Calibri"/>
                <w:kern w:val="0"/>
                <w:sz w:val="20"/>
                <w:lang w:bidi="ar"/>
              </w:rPr>
              <w:t>0</w:t>
            </w:r>
            <w:r>
              <w:rPr>
                <w:rFonts w:cs="Calibri"/>
                <w:kern w:val="0"/>
                <w:sz w:val="20"/>
                <w:lang w:bidi="ar"/>
              </w:rPr>
              <w:t> </w:t>
            </w:r>
          </w:p>
        </w:tc>
        <w:tc>
          <w:tcPr>
            <w:tcW w:w="653" w:type="dxa"/>
            <w:tcBorders>
              <w:top w:val="nil"/>
              <w:left w:val="single" w:color="auto" w:sz="8" w:space="0"/>
              <w:bottom w:val="single" w:color="auto" w:sz="8" w:space="0"/>
              <w:right w:val="single" w:color="auto" w:sz="8" w:space="0"/>
            </w:tcBorders>
            <w:tcMar>
              <w:left w:w="108" w:type="dxa"/>
              <w:right w:w="108" w:type="dxa"/>
            </w:tcMar>
          </w:tcPr>
          <w:p>
            <w:pPr>
              <w:jc w:val="center"/>
            </w:pPr>
            <w:r>
              <w:rPr>
                <w:rFonts w:hint="eastAsia" w:cs="Calibri"/>
                <w:kern w:val="0"/>
                <w:sz w:val="20"/>
                <w:lang w:bidi="ar"/>
              </w:rPr>
              <w:t>0</w:t>
            </w:r>
            <w:r>
              <w:rPr>
                <w:rFonts w:cs="Calibri"/>
                <w:kern w:val="0"/>
                <w:sz w:val="20"/>
                <w:lang w:bidi="ar"/>
              </w:rPr>
              <w:t> </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7"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cs="Calibri"/>
                <w:kern w:val="0"/>
                <w:sz w:val="20"/>
                <w:lang w:bidi="ar"/>
              </w:rPr>
            </w:pPr>
            <w:r>
              <w:rPr>
                <w:rFonts w:cs="Calibri"/>
                <w:kern w:val="0"/>
                <w:sz w:val="20"/>
                <w:lang w:bidi="ar"/>
              </w:rPr>
              <w:t> </w:t>
            </w:r>
            <w:r>
              <w:rPr>
                <w:rFonts w:hint="eastAsia" w:cs="Calibri"/>
                <w:kern w:val="0"/>
                <w:sz w:val="20"/>
                <w:lang w:bidi="ar"/>
              </w:rPr>
              <w:t>0</w:t>
            </w:r>
          </w:p>
        </w:tc>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cs="Calibri"/>
                <w:kern w:val="0"/>
                <w:sz w:val="20"/>
                <w:lang w:bidi="ar"/>
              </w:rPr>
            </w:pPr>
            <w:r>
              <w:rPr>
                <w:rFonts w:cs="Calibri"/>
                <w:kern w:val="0"/>
                <w:sz w:val="20"/>
                <w:lang w:bidi="ar"/>
              </w:rPr>
              <w:t> </w:t>
            </w:r>
            <w:r>
              <w:rPr>
                <w:rFonts w:hint="eastAsia" w:cs="Calibri"/>
                <w:kern w:val="0"/>
                <w:sz w:val="20"/>
                <w:lang w:bidi="ar"/>
              </w:rPr>
              <w:t>0</w:t>
            </w:r>
          </w:p>
        </w:tc>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cs="Calibri"/>
                <w:kern w:val="0"/>
                <w:sz w:val="20"/>
                <w:lang w:bidi="ar"/>
              </w:rPr>
              <w:t> </w:t>
            </w:r>
            <w:r>
              <w:rPr>
                <w:rFonts w:hint="eastAsia" w:cs="Calibri"/>
                <w:kern w:val="0"/>
                <w:sz w:val="20"/>
                <w:lang w:bidi="ar"/>
              </w:rPr>
              <w:t>0</w:t>
            </w:r>
          </w:p>
        </w:tc>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cs="Calibri"/>
                <w:kern w:val="0"/>
                <w:sz w:val="20"/>
                <w:lang w:bidi="ar"/>
              </w:rPr>
            </w:pPr>
            <w:r>
              <w:rPr>
                <w:rFonts w:hint="eastAsia" w:cs="Calibri"/>
                <w:kern w:val="0"/>
                <w:sz w:val="20"/>
                <w:lang w:bidi="ar"/>
              </w:rPr>
              <w:t>0</w:t>
            </w:r>
            <w:r>
              <w:rPr>
                <w:rFonts w:cs="Calibri"/>
                <w:kern w:val="0"/>
                <w:sz w:val="20"/>
                <w:lang w:bidi="ar"/>
              </w:rPr>
              <w:t> </w:t>
            </w:r>
          </w:p>
        </w:tc>
        <w:tc>
          <w:tcPr>
            <w:tcW w:w="660" w:type="dxa"/>
            <w:tcBorders>
              <w:top w:val="nil"/>
              <w:left w:val="single" w:color="auto" w:sz="8" w:space="0"/>
              <w:bottom w:val="single" w:color="auto" w:sz="8" w:space="0"/>
              <w:right w:val="single" w:color="auto" w:sz="8" w:space="0"/>
            </w:tcBorders>
            <w:tcMar>
              <w:left w:w="108" w:type="dxa"/>
              <w:right w:w="108" w:type="dxa"/>
            </w:tcMar>
          </w:tcPr>
          <w:p>
            <w:pPr>
              <w:jc w:val="center"/>
            </w:pPr>
          </w:p>
          <w:p>
            <w:pPr>
              <w:jc w:val="center"/>
            </w:pPr>
            <w:r>
              <w:rPr>
                <w:rFonts w:hint="eastAsia"/>
              </w:rPr>
              <w:t>0</w:t>
            </w:r>
          </w:p>
        </w:tc>
      </w:tr>
    </w:tbl>
    <w:p>
      <w:pPr>
        <w:jc w:val="left"/>
      </w:pPr>
    </w:p>
    <w:p>
      <w:pPr>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spacing w:line="560" w:lineRule="exact"/>
        <w:ind w:firstLine="640" w:firstLineChars="200"/>
        <w:rPr>
          <w:rFonts w:ascii="仿宋" w:hAnsi="仿宋" w:eastAsia="仿宋" w:cs="仿宋"/>
          <w:spacing w:val="8"/>
          <w:kern w:val="0"/>
          <w:sz w:val="32"/>
          <w:szCs w:val="32"/>
        </w:rPr>
      </w:pPr>
      <w:r>
        <w:rPr>
          <w:rFonts w:hint="eastAsia" w:ascii="仿宋" w:hAnsi="仿宋" w:eastAsia="仿宋" w:cs="仿宋"/>
          <w:color w:val="000000"/>
          <w:sz w:val="32"/>
          <w:szCs w:val="32"/>
          <w:shd w:val="clear" w:color="auto" w:fill="FFFFFF"/>
        </w:rPr>
        <w:t>具体表现为</w:t>
      </w:r>
      <w:r>
        <w:rPr>
          <w:rFonts w:hint="eastAsia" w:ascii="仿宋" w:hAnsi="仿宋" w:eastAsia="仿宋" w:cs="仿宋"/>
          <w:kern w:val="0"/>
          <w:sz w:val="32"/>
          <w:szCs w:val="32"/>
        </w:rPr>
        <w:t>文体活动类信息和招商引资发布较少</w:t>
      </w:r>
      <w:r>
        <w:rPr>
          <w:rFonts w:hint="eastAsia" w:ascii="仿宋" w:hAnsi="仿宋" w:eastAsia="仿宋" w:cs="仿宋"/>
          <w:color w:val="000000"/>
          <w:sz w:val="32"/>
          <w:szCs w:val="32"/>
          <w:shd w:val="clear" w:color="auto" w:fill="FFFFFF"/>
        </w:rPr>
        <w:t>。园区将在保证信息质量的同时，</w:t>
      </w:r>
      <w:r>
        <w:rPr>
          <w:rFonts w:hint="eastAsia" w:ascii="仿宋" w:hAnsi="仿宋" w:eastAsia="仿宋" w:cs="仿宋"/>
          <w:kern w:val="0"/>
          <w:sz w:val="32"/>
          <w:szCs w:val="32"/>
        </w:rPr>
        <w:t>对信息类别发布做好规划</w:t>
      </w:r>
      <w:r>
        <w:rPr>
          <w:rFonts w:hint="eastAsia" w:ascii="仿宋" w:hAnsi="仿宋" w:eastAsia="仿宋" w:cs="仿宋"/>
          <w:color w:val="000000"/>
          <w:sz w:val="32"/>
          <w:szCs w:val="32"/>
          <w:shd w:val="clear" w:color="auto" w:fill="FFFFFF"/>
        </w:rPr>
        <w:t>。</w:t>
      </w:r>
    </w:p>
    <w:p>
      <w:pPr>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rPr>
          <w:rFonts w:hint="eastAsia" w:ascii="仿宋" w:hAnsi="仿宋" w:eastAsia="仿宋" w:cs="仿宋"/>
          <w:sz w:val="32"/>
          <w:szCs w:val="32"/>
          <w:lang w:eastAsia="zh-CN"/>
        </w:rPr>
      </w:pPr>
      <w:r>
        <w:rPr>
          <w:rFonts w:ascii="宋体" w:hAnsi="宋体" w:cs="宋体"/>
          <w:spacing w:val="8"/>
          <w:kern w:val="0"/>
          <w:sz w:val="32"/>
          <w:szCs w:val="32"/>
        </w:rPr>
        <w:t>　　</w:t>
      </w:r>
      <w:r>
        <w:rPr>
          <w:rFonts w:hint="eastAsia" w:ascii="仿宋" w:hAnsi="仿宋" w:eastAsia="仿宋" w:cs="仿宋"/>
          <w:sz w:val="32"/>
          <w:szCs w:val="32"/>
        </w:rPr>
        <w:t>发出收费通知的件数和总金额</w:t>
      </w:r>
      <w:r>
        <w:rPr>
          <w:rFonts w:hint="eastAsia" w:ascii="仿宋" w:hAnsi="仿宋" w:eastAsia="仿宋" w:cs="仿宋"/>
          <w:sz w:val="32"/>
          <w:szCs w:val="32"/>
          <w:lang w:eastAsia="zh-CN"/>
        </w:rPr>
        <w:t>、</w:t>
      </w:r>
      <w:r>
        <w:rPr>
          <w:rFonts w:hint="eastAsia" w:ascii="仿宋" w:hAnsi="仿宋" w:eastAsia="仿宋" w:cs="仿宋"/>
          <w:sz w:val="32"/>
          <w:szCs w:val="32"/>
        </w:rPr>
        <w:t>实际收取的总金额</w:t>
      </w:r>
      <w:r>
        <w:rPr>
          <w:rFonts w:hint="eastAsia" w:ascii="仿宋" w:hAnsi="仿宋" w:eastAsia="仿宋" w:cs="仿宋"/>
          <w:sz w:val="32"/>
          <w:szCs w:val="32"/>
          <w:lang w:eastAsia="zh-CN"/>
        </w:rPr>
        <w:t>均为零。</w:t>
      </w:r>
    </w:p>
    <w:p>
      <w:pPr>
        <w:spacing w:line="560" w:lineRule="exact"/>
        <w:jc w:val="left"/>
        <w:rPr>
          <w:rFonts w:ascii="仿宋_GB2312" w:hAnsi="宋体" w:cs="宋体"/>
          <w:color w:val="9BC2E6"/>
          <w:spacing w:val="8"/>
          <w:kern w:val="0"/>
          <w:sz w:val="32"/>
          <w:szCs w:val="32"/>
        </w:rPr>
      </w:pPr>
    </w:p>
    <w:p>
      <w:pPr>
        <w:pStyle w:val="2"/>
        <w:spacing w:line="560" w:lineRule="exact"/>
        <w:rPr>
          <w:rFonts w:ascii="微软雅黑" w:hAnsi="微软雅黑" w:eastAsia="微软雅黑" w:cs="宋体"/>
          <w:color w:val="404040"/>
          <w:kern w:val="0"/>
          <w:sz w:val="32"/>
          <w:szCs w:val="32"/>
        </w:rPr>
      </w:pPr>
      <w:r>
        <w:rPr>
          <w:rFonts w:hint="eastAsia" w:ascii="微软雅黑" w:hAnsi="微软雅黑" w:eastAsia="微软雅黑" w:cs="宋体"/>
          <w:color w:val="404040"/>
          <w:kern w:val="0"/>
          <w:sz w:val="32"/>
          <w:szCs w:val="32"/>
        </w:rPr>
        <w:t xml:space="preserve"> </w:t>
      </w:r>
    </w:p>
    <w:p>
      <w:pPr>
        <w:pStyle w:val="2"/>
        <w:spacing w:line="560" w:lineRule="exact"/>
        <w:rPr>
          <w:rFonts w:ascii="微软雅黑" w:hAnsi="微软雅黑" w:eastAsia="微软雅黑" w:cs="宋体"/>
          <w:color w:val="404040"/>
          <w:kern w:val="0"/>
          <w:sz w:val="32"/>
          <w:szCs w:val="32"/>
        </w:rPr>
      </w:pPr>
    </w:p>
    <w:p>
      <w:pPr>
        <w:pStyle w:val="2"/>
        <w:spacing w:line="560" w:lineRule="exact"/>
        <w:rPr>
          <w:rFonts w:ascii="微软雅黑" w:hAnsi="微软雅黑" w:eastAsia="微软雅黑" w:cs="宋体"/>
          <w:color w:val="404040"/>
          <w:kern w:val="0"/>
          <w:sz w:val="32"/>
          <w:szCs w:val="32"/>
        </w:rPr>
      </w:pPr>
    </w:p>
    <w:p>
      <w:pPr>
        <w:spacing w:line="560" w:lineRule="exact"/>
        <w:rPr>
          <w:rFonts w:ascii="黑体" w:hAnsi="黑体" w:eastAsia="黑体" w:cs="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YzNjNTI5M2U1NmJlMzQzYTVkMTk1YjY4OWY1MmEifQ=="/>
  </w:docVars>
  <w:rsids>
    <w:rsidRoot w:val="66A9245F"/>
    <w:rsid w:val="00567B4E"/>
    <w:rsid w:val="00AA035F"/>
    <w:rsid w:val="0E7051D3"/>
    <w:rsid w:val="19D2478A"/>
    <w:rsid w:val="20B263CC"/>
    <w:rsid w:val="230E1717"/>
    <w:rsid w:val="2F324F46"/>
    <w:rsid w:val="4E6D538D"/>
    <w:rsid w:val="4E7823FE"/>
    <w:rsid w:val="58205E53"/>
    <w:rsid w:val="60D53AED"/>
    <w:rsid w:val="66A9245F"/>
    <w:rsid w:val="6A033710"/>
    <w:rsid w:val="711B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qFormat/>
    <w:uiPriority w:val="0"/>
    <w:pPr>
      <w:jc w:val="left"/>
    </w:pPr>
  </w:style>
  <w:style w:type="paragraph" w:styleId="4">
    <w:name w:val="Normal (Web)"/>
    <w:basedOn w:val="1"/>
    <w:qFormat/>
    <w:uiPriority w:val="99"/>
    <w:pPr>
      <w:spacing w:before="100" w:beforeAutospacing="1" w:after="100" w:afterAutospacing="1"/>
      <w:jc w:val="left"/>
    </w:pPr>
    <w:rPr>
      <w:kern w:val="0"/>
      <w:sz w:val="24"/>
    </w:rPr>
  </w:style>
  <w:style w:type="paragraph" w:styleId="5">
    <w:name w:val="annotation subject"/>
    <w:basedOn w:val="3"/>
    <w:next w:val="3"/>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rFonts w:ascii="Calibri" w:hAnsi="Calibri" w:eastAsia="宋体" w:cs="Times New Roman"/>
      <w:kern w:val="2"/>
      <w:sz w:val="21"/>
    </w:rPr>
  </w:style>
  <w:style w:type="character" w:customStyle="1" w:styleId="10">
    <w:name w:val="批注主题 字符"/>
    <w:basedOn w:val="9"/>
    <w:link w:val="5"/>
    <w:qFormat/>
    <w:uiPriority w:val="0"/>
    <w:rPr>
      <w:rFonts w:ascii="Calibri" w:hAnsi="Calibri"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321</Words>
  <Characters>1830</Characters>
  <Lines>15</Lines>
  <Paragraphs>4</Paragraphs>
  <TotalTime>36</TotalTime>
  <ScaleCrop>false</ScaleCrop>
  <LinksUpToDate>false</LinksUpToDate>
  <CharactersWithSpaces>2147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2023-01-17T09:17:00Z</dcterms:created>
  <dc:creator>lc</dc:creator>
  <cp:lastModifiedBy>WJ412</cp:lastModifiedBy>
  <dcterms:modified xsi:type="dcterms:W3CDTF">2023-01-18T02:21:07Z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63E9689C4D6D456FAFAA77591935AC4C</vt:lpwstr>
  </property>
</Properties>
</file>