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autoSpaceDE w:val="0"/>
        <w:autoSpaceDN w:val="0"/>
        <w:bidi w:val="0"/>
        <w:adjustRightInd w:val="0"/>
        <w:snapToGrid/>
        <w:spacing w:before="0" w:beforeAutospacing="0" w:after="0" w:afterAutospacing="0" w:line="560" w:lineRule="exact"/>
        <w:ind w:left="0" w:right="0" w:firstLine="0"/>
        <w:jc w:val="center"/>
        <w:textAlignment w:val="baseline"/>
        <w:rPr>
          <w:rFonts w:hint="eastAsia" w:ascii="方正小标宋简体" w:hAnsi="方正小标宋简体" w:eastAsia="方正小标宋简体" w:cs="方正小标宋简体"/>
          <w:kern w:val="0"/>
          <w:sz w:val="44"/>
          <w:szCs w:val="44"/>
          <w:lang/>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autoSpaceDE w:val="0"/>
        <w:autoSpaceDN w:val="0"/>
        <w:bidi w:val="0"/>
        <w:adjustRightInd w:val="0"/>
        <w:snapToGrid/>
        <w:spacing w:before="0" w:beforeAutospacing="0" w:after="0" w:afterAutospacing="0" w:line="560" w:lineRule="exact"/>
        <w:ind w:left="0" w:right="0" w:firstLine="0"/>
        <w:jc w:val="center"/>
        <w:textAlignment w:val="baseline"/>
        <w:rPr>
          <w:rFonts w:hint="eastAsia" w:ascii="方正小标宋简体" w:hAnsi="方正小标宋简体" w:eastAsia="方正小标宋简体" w:cs="方正小标宋简体"/>
          <w:kern w:val="0"/>
          <w:sz w:val="44"/>
          <w:szCs w:val="44"/>
          <w:lang/>
        </w:rPr>
      </w:pPr>
      <w:bookmarkStart w:id="0" w:name="_GoBack"/>
      <w:r>
        <w:rPr>
          <w:rFonts w:hint="eastAsia" w:ascii="方正小标宋简体" w:hAnsi="方正小标宋简体" w:eastAsia="方正小标宋简体" w:cs="方正小标宋简体"/>
          <w:kern w:val="0"/>
          <w:sz w:val="44"/>
          <w:szCs w:val="44"/>
          <w:lang/>
        </w:rPr>
        <w:t>北京市丰台区体育局202</w:t>
      </w:r>
      <w:r>
        <w:rPr>
          <w:rFonts w:hint="eastAsia" w:ascii="方正小标宋简体" w:hAnsi="方正小标宋简体" w:eastAsia="方正小标宋简体" w:cs="方正小标宋简体"/>
          <w:kern w:val="0"/>
          <w:sz w:val="44"/>
          <w:szCs w:val="44"/>
          <w:lang w:val="en-US" w:eastAsia="zh-CN"/>
        </w:rPr>
        <w:t>2</w:t>
      </w:r>
      <w:r>
        <w:rPr>
          <w:rFonts w:hint="eastAsia" w:ascii="方正小标宋简体" w:hAnsi="方正小标宋简体" w:eastAsia="方正小标宋简体" w:cs="方正小标宋简体"/>
          <w:kern w:val="0"/>
          <w:sz w:val="44"/>
          <w:szCs w:val="44"/>
          <w:lang/>
        </w:rPr>
        <w:t>年政府信息公开工作年度报告</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autoSpaceDE w:val="0"/>
        <w:autoSpaceDN w:val="0"/>
        <w:bidi w:val="0"/>
        <w:adjustRightInd w:val="0"/>
        <w:snapToGrid/>
        <w:spacing w:before="0" w:beforeAutospacing="0" w:after="0" w:afterAutospacing="0" w:line="560" w:lineRule="exact"/>
        <w:ind w:right="0" w:firstLine="640" w:firstLineChars="200"/>
        <w:jc w:val="left"/>
        <w:textAlignment w:val="baseline"/>
        <w:rPr>
          <w:rFonts w:hint="eastAsia" w:ascii="仿宋_GB2312" w:hAnsi="Times New Roman" w:eastAsia="仿宋_GB2312" w:cs="Times New Roman"/>
          <w:kern w:val="0"/>
          <w:sz w:val="32"/>
          <w:szCs w:val="32"/>
          <w:lang/>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autoSpaceDE w:val="0"/>
        <w:autoSpaceDN w:val="0"/>
        <w:bidi w:val="0"/>
        <w:adjustRightInd w:val="0"/>
        <w:snapToGrid/>
        <w:spacing w:before="0" w:beforeAutospacing="0" w:after="0" w:afterAutospacing="0" w:line="560" w:lineRule="exact"/>
        <w:ind w:right="0" w:firstLine="640" w:firstLineChars="200"/>
        <w:jc w:val="left"/>
        <w:textAlignment w:val="baseline"/>
        <w:rPr>
          <w:rFonts w:hint="eastAsia" w:ascii="仿宋_GB2312" w:hAnsi="Times New Roman" w:eastAsia="仿宋_GB2312" w:cs="Times New Roman"/>
          <w:kern w:val="0"/>
          <w:sz w:val="32"/>
          <w:szCs w:val="32"/>
          <w:lang/>
        </w:rPr>
      </w:pPr>
      <w:r>
        <w:rPr>
          <w:rFonts w:hint="eastAsia" w:ascii="仿宋_GB2312" w:hAnsi="Times New Roman" w:eastAsia="仿宋_GB2312" w:cs="Times New Roman"/>
          <w:kern w:val="0"/>
          <w:sz w:val="32"/>
          <w:szCs w:val="32"/>
          <w:lang/>
        </w:rPr>
        <w:t>依据《中华人民共和国政府信息公开条例》(以下简称《政府信息公开条例》)第五十条规定，编制本报告。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autoSpaceDE w:val="0"/>
        <w:autoSpaceDN w:val="0"/>
        <w:bidi w:val="0"/>
        <w:adjustRightInd w:val="0"/>
        <w:snapToGrid/>
        <w:spacing w:before="0" w:beforeAutospacing="0" w:after="0" w:afterAutospacing="0" w:line="560" w:lineRule="exact"/>
        <w:ind w:left="0" w:right="0" w:firstLine="420"/>
        <w:jc w:val="left"/>
        <w:textAlignment w:val="baseline"/>
        <w:rPr>
          <w:rFonts w:hint="eastAsia" w:ascii="黑体" w:hAnsi="黑体" w:eastAsia="黑体" w:cs="黑体"/>
          <w:kern w:val="0"/>
          <w:sz w:val="32"/>
          <w:szCs w:val="32"/>
          <w:lang/>
        </w:rPr>
      </w:pPr>
      <w:r>
        <w:rPr>
          <w:rFonts w:hint="eastAsia" w:ascii="黑体" w:hAnsi="黑体" w:eastAsia="黑体" w:cs="黑体"/>
          <w:kern w:val="0"/>
          <w:sz w:val="32"/>
          <w:szCs w:val="32"/>
          <w:lang/>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autoSpaceDE w:val="0"/>
        <w:autoSpaceDN w:val="0"/>
        <w:bidi w:val="0"/>
        <w:adjustRightInd w:val="0"/>
        <w:snapToGrid/>
        <w:spacing w:before="0" w:beforeAutospacing="0" w:after="0" w:afterAutospacing="0" w:line="560" w:lineRule="exact"/>
        <w:ind w:right="0" w:firstLine="640" w:firstLineChars="200"/>
        <w:jc w:val="left"/>
        <w:textAlignment w:val="baseline"/>
        <w:rPr>
          <w:rFonts w:hint="eastAsia" w:ascii="仿宋_GB2312" w:hAnsi="Times New Roman" w:eastAsia="仿宋_GB2312" w:cs="Times New Roman"/>
          <w:kern w:val="0"/>
          <w:sz w:val="32"/>
          <w:szCs w:val="32"/>
          <w:lang/>
        </w:rPr>
      </w:pPr>
      <w:r>
        <w:rPr>
          <w:rFonts w:hint="eastAsia" w:ascii="仿宋_GB2312" w:hAnsi="Times New Roman" w:eastAsia="仿宋_GB2312" w:cs="Times New Roman"/>
          <w:kern w:val="0"/>
          <w:sz w:val="32"/>
          <w:szCs w:val="32"/>
          <w:lang/>
        </w:rPr>
        <w:t>自2008年5月1日起丰台区体育局正式施行政府信息公开工作，并成立由局长为组长，主管副局长为副组长的区体育局政府信息公开工作领导小组，局办公室为体育局政府信息公开工作主管部门(西四环南路55号306，电话：63814319，传真：63811657，电子邮箱：tyjbgs@mail.bjft.gov.cn)，负责推进、指导、协调、监督全局政府信息公开工作，配备了1名兼职工作人员，设立了1个专门的信息申请受理点，制定了保密审查、政府信息公开目录规范等相关制度规定。202</w:t>
      </w:r>
      <w:r>
        <w:rPr>
          <w:rFonts w:hint="eastAsia" w:ascii="仿宋_GB2312" w:eastAsia="仿宋_GB2312" w:cs="Times New Roman"/>
          <w:kern w:val="0"/>
          <w:sz w:val="32"/>
          <w:szCs w:val="32"/>
          <w:lang w:val="en-US" w:eastAsia="zh-CN"/>
        </w:rPr>
        <w:t>2</w:t>
      </w:r>
      <w:r>
        <w:rPr>
          <w:rFonts w:hint="eastAsia" w:ascii="仿宋_GB2312" w:hAnsi="Times New Roman" w:eastAsia="仿宋_GB2312" w:cs="Times New Roman"/>
          <w:kern w:val="0"/>
          <w:sz w:val="32"/>
          <w:szCs w:val="32"/>
          <w:lang/>
        </w:rPr>
        <w:t>年度丰台区体育局</w:t>
      </w:r>
      <w:r>
        <w:rPr>
          <w:rFonts w:hint="eastAsia" w:ascii="仿宋_GB2312" w:eastAsia="仿宋_GB2312" w:cs="Times New Roman"/>
          <w:kern w:val="0"/>
          <w:sz w:val="32"/>
          <w:szCs w:val="32"/>
          <w:lang w:val="en-US" w:eastAsia="zh-CN"/>
        </w:rPr>
        <w:t>就</w:t>
      </w:r>
      <w:r>
        <w:rPr>
          <w:rFonts w:hint="eastAsia" w:ascii="仿宋_GB2312" w:hAnsi="Times New Roman" w:eastAsia="仿宋_GB2312" w:cs="Times New Roman"/>
          <w:kern w:val="0"/>
          <w:sz w:val="32"/>
          <w:szCs w:val="32"/>
          <w:lang/>
        </w:rPr>
        <w:t>年</w:t>
      </w:r>
      <w:r>
        <w:rPr>
          <w:rFonts w:hint="eastAsia" w:ascii="仿宋_GB2312" w:hAnsi="Times New Roman" w:eastAsia="仿宋_GB2312" w:cs="Times New Roman"/>
          <w:kern w:val="0"/>
          <w:sz w:val="32"/>
          <w:szCs w:val="32"/>
        </w:rPr>
        <w:t>丰台区</w:t>
      </w:r>
      <w:r>
        <w:rPr>
          <w:rFonts w:hint="eastAsia" w:ascii="仿宋_GB2312" w:hAnsi="Times New Roman" w:eastAsia="仿宋_GB2312" w:cs="Times New Roman"/>
          <w:kern w:val="0"/>
          <w:sz w:val="32"/>
          <w:szCs w:val="32"/>
          <w:lang/>
        </w:rPr>
        <w:t>政务公开工作要求，开展了以下工作：</w:t>
      </w:r>
    </w:p>
    <w:p>
      <w:pPr>
        <w:keepNext w:val="0"/>
        <w:keepLines w:val="0"/>
        <w:pageBreakBefore w:val="0"/>
        <w:wordWrap/>
        <w:topLinePunct w:val="0"/>
        <w:autoSpaceDE w:val="0"/>
        <w:autoSpaceDN w:val="0"/>
        <w:bidi w:val="0"/>
        <w:adjustRightInd w:val="0"/>
        <w:snapToGrid/>
        <w:spacing w:line="560" w:lineRule="exact"/>
        <w:ind w:firstLine="640" w:firstLineChars="200"/>
        <w:rPr>
          <w:rFonts w:ascii="楷体_GB2312" w:eastAsia="楷体_GB2312"/>
          <w:sz w:val="32"/>
          <w:szCs w:val="32"/>
        </w:rPr>
      </w:pPr>
      <w:r>
        <w:rPr>
          <w:rFonts w:hint="eastAsia" w:ascii="楷体_GB2312" w:eastAsia="楷体_GB2312"/>
          <w:sz w:val="32"/>
          <w:szCs w:val="32"/>
        </w:rPr>
        <w:t>（一）利用网络平台，做好信息发布工作</w:t>
      </w:r>
    </w:p>
    <w:p>
      <w:pPr>
        <w:keepNext w:val="0"/>
        <w:keepLines w:val="0"/>
        <w:pageBreakBefore w:val="0"/>
        <w:wordWrap/>
        <w:topLinePunct w:val="0"/>
        <w:autoSpaceDE w:val="0"/>
        <w:autoSpaceDN w:val="0"/>
        <w:bidi w:val="0"/>
        <w:adjustRightInd w:val="0"/>
        <w:snapToGrid/>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坚持“贴近、时效、实用”的原则，以“贴近丰台体育中心工作、第一时间传播体育资讯、便利健身群众生活”为运营方向，精心打造丰台体育微信公众平台。坚持定期更新推送，内容质量逐步提高。将更多时间精力投入原创内容，综合运用图片、文字、多媒体手段，编辑制作水平明显改善，实时推出送票、优惠资讯，及时回应受众关切，同时，加强</w:t>
      </w:r>
      <w:r>
        <w:rPr>
          <w:rFonts w:hint="eastAsia" w:ascii="仿宋_GB2312" w:eastAsia="仿宋_GB2312"/>
          <w:color w:val="000000"/>
          <w:sz w:val="32"/>
          <w:szCs w:val="32"/>
        </w:rPr>
        <w:t>信息沟通，在整合各街镇、体育协会信息报送基础上，供稿质量稳步提升。</w:t>
      </w:r>
      <w:r>
        <w:rPr>
          <w:rFonts w:hint="eastAsia" w:ascii="仿宋_GB2312" w:eastAsia="仿宋_GB2312"/>
          <w:color w:val="000000"/>
          <w:sz w:val="32"/>
          <w:szCs w:val="32"/>
          <w:lang w:val="en-US" w:eastAsia="zh-CN"/>
        </w:rPr>
        <w:t>2022年</w:t>
      </w:r>
      <w:r>
        <w:rPr>
          <w:rFonts w:hint="eastAsia" w:ascii="仿宋_GB2312" w:eastAsia="仿宋_GB2312"/>
          <w:color w:val="000000"/>
          <w:sz w:val="32"/>
          <w:szCs w:val="32"/>
        </w:rPr>
        <w:t>，通过“丰台体育”微信公众号发布信息</w:t>
      </w:r>
      <w:r>
        <w:rPr>
          <w:rFonts w:hint="eastAsia" w:ascii="仿宋_GB2312" w:eastAsia="仿宋_GB2312"/>
          <w:color w:val="000000"/>
          <w:sz w:val="32"/>
          <w:szCs w:val="32"/>
          <w:lang w:val="en-US" w:eastAsia="zh-CN"/>
        </w:rPr>
        <w:t>320</w:t>
      </w:r>
      <w:r>
        <w:rPr>
          <w:rFonts w:hint="eastAsia" w:ascii="仿宋_GB2312" w:eastAsia="仿宋_GB2312"/>
          <w:color w:val="000000"/>
          <w:sz w:val="32"/>
          <w:szCs w:val="32"/>
        </w:rPr>
        <w:t>条。</w:t>
      </w:r>
    </w:p>
    <w:p>
      <w:pPr>
        <w:keepNext w:val="0"/>
        <w:keepLines w:val="0"/>
        <w:pageBreakBefore w:val="0"/>
        <w:wordWrap/>
        <w:topLinePunct w:val="0"/>
        <w:autoSpaceDE w:val="0"/>
        <w:autoSpaceDN w:val="0"/>
        <w:bidi w:val="0"/>
        <w:adjustRightInd w:val="0"/>
        <w:snapToGrid/>
        <w:spacing w:line="560" w:lineRule="exact"/>
        <w:ind w:firstLine="640" w:firstLineChars="200"/>
        <w:rPr>
          <w:rFonts w:ascii="楷体_GB2312" w:eastAsia="楷体_GB2312"/>
          <w:sz w:val="32"/>
          <w:szCs w:val="32"/>
        </w:rPr>
      </w:pPr>
      <w:r>
        <w:rPr>
          <w:rFonts w:hint="eastAsia" w:ascii="楷体_GB2312" w:eastAsia="楷体_GB2312"/>
          <w:sz w:val="32"/>
          <w:szCs w:val="32"/>
        </w:rPr>
        <w:t>（二）提高服务意识</w:t>
      </w:r>
    </w:p>
    <w:p>
      <w:pPr>
        <w:keepNext w:val="0"/>
        <w:keepLines w:val="0"/>
        <w:pageBreakBefore w:val="0"/>
        <w:wordWrap/>
        <w:topLinePunct w:val="0"/>
        <w:autoSpaceDE w:val="0"/>
        <w:autoSpaceDN w:val="0"/>
        <w:bidi w:val="0"/>
        <w:adjustRightInd w:val="0"/>
        <w:snapToGrid/>
        <w:spacing w:line="560" w:lineRule="exact"/>
        <w:ind w:firstLine="640" w:firstLineChars="200"/>
        <w:rPr>
          <w:rFonts w:ascii="仿宋_GB2312" w:eastAsia="仿宋_GB2312"/>
          <w:sz w:val="32"/>
          <w:szCs w:val="32"/>
        </w:rPr>
      </w:pPr>
      <w:r>
        <w:rPr>
          <w:rFonts w:hint="eastAsia" w:ascii="仿宋_GB2312" w:eastAsia="仿宋_GB2312"/>
          <w:sz w:val="32"/>
          <w:szCs w:val="32"/>
        </w:rPr>
        <w:t>“微笑在岗、服务在心”是我局服务工作倡导的理念，我局在“丰台体育”微信公众号、区政府官网丰台区体育局板块上公布了局办公室及相关业务科室的服务电话，方便市民咨询</w:t>
      </w:r>
      <w:r>
        <w:rPr>
          <w:rFonts w:hint="eastAsia" w:ascii="仿宋_GB2312" w:eastAsia="仿宋_GB2312"/>
          <w:sz w:val="32"/>
          <w:szCs w:val="32"/>
          <w:lang w:val="en-US" w:eastAsia="zh-CN"/>
        </w:rPr>
        <w:t>了解丰台体育</w:t>
      </w:r>
      <w:r>
        <w:rPr>
          <w:rFonts w:hint="eastAsia" w:ascii="仿宋_GB2312" w:eastAsia="仿宋_GB2312"/>
          <w:sz w:val="32"/>
          <w:szCs w:val="32"/>
        </w:rPr>
        <w:t>相关事宜。我局积极强化工作人员的服务意识和宗旨意识，始终做到举止文明、热情礼貌、用语规范、服务高效，在服务细节上体现人性化，做到热情服务、规范服务、周到服务，努力提高群众的满意度。各科室对照工作任务及责任分工，落实专人逐项抓好落实。围绕政务公开重点工作，通过政府信息公开目录管理系统及时上传公开政府信息。</w:t>
      </w:r>
    </w:p>
    <w:p>
      <w:pPr>
        <w:keepNext w:val="0"/>
        <w:keepLines w:val="0"/>
        <w:pageBreakBefore w:val="0"/>
        <w:wordWrap/>
        <w:topLinePunct w:val="0"/>
        <w:autoSpaceDE w:val="0"/>
        <w:autoSpaceDN w:val="0"/>
        <w:bidi w:val="0"/>
        <w:adjustRightInd w:val="0"/>
        <w:snapToGrid/>
        <w:spacing w:line="560" w:lineRule="exact"/>
        <w:ind w:firstLine="640" w:firstLineChars="200"/>
        <w:rPr>
          <w:rFonts w:ascii="楷体_GB2312" w:eastAsia="楷体_GB2312"/>
          <w:sz w:val="32"/>
          <w:szCs w:val="32"/>
        </w:rPr>
      </w:pPr>
      <w:r>
        <w:rPr>
          <w:rFonts w:hint="eastAsia" w:ascii="楷体_GB2312" w:eastAsia="楷体_GB2312"/>
          <w:sz w:val="32"/>
          <w:szCs w:val="32"/>
        </w:rPr>
        <w:t>（三）政务开放日活动</w:t>
      </w:r>
    </w:p>
    <w:p>
      <w:pPr>
        <w:keepNext w:val="0"/>
        <w:keepLines w:val="0"/>
        <w:pageBreakBefore w:val="0"/>
        <w:wordWrap/>
        <w:topLinePunct w:val="0"/>
        <w:autoSpaceDE w:val="0"/>
        <w:autoSpaceDN w:val="0"/>
        <w:bidi w:val="0"/>
        <w:adjustRightInd w:val="0"/>
        <w:snapToGrid/>
        <w:spacing w:line="560" w:lineRule="exact"/>
        <w:ind w:firstLine="640" w:firstLineChars="200"/>
        <w:rPr>
          <w:rFonts w:ascii="仿宋_GB2312" w:eastAsia="仿宋_GB2312"/>
          <w:b/>
          <w:bCs/>
          <w:sz w:val="32"/>
          <w:szCs w:val="32"/>
        </w:rPr>
      </w:pPr>
      <w:r>
        <w:rPr>
          <w:rFonts w:hint="eastAsia" w:ascii="仿宋_GB2312" w:eastAsia="仿宋_GB2312"/>
          <w:sz w:val="32"/>
          <w:szCs w:val="32"/>
        </w:rPr>
        <w:t>2022年，区体育局努力克服疫情影响，陆续开展全民健身国民体质测试惠民行，暨丰台区体育局政务开放日活动，主旨是为了提高</w:t>
      </w:r>
      <w:r>
        <w:rPr>
          <w:rFonts w:ascii="仿宋_GB2312" w:eastAsia="仿宋_GB2312"/>
          <w:sz w:val="32"/>
          <w:szCs w:val="32"/>
        </w:rPr>
        <w:t>市民健身意识和</w:t>
      </w:r>
      <w:r>
        <w:rPr>
          <w:rFonts w:hint="eastAsia" w:ascii="仿宋_GB2312" w:eastAsia="仿宋_GB2312"/>
          <w:sz w:val="32"/>
          <w:szCs w:val="32"/>
        </w:rPr>
        <w:t>不断增强</w:t>
      </w:r>
      <w:r>
        <w:rPr>
          <w:rFonts w:ascii="仿宋_GB2312" w:eastAsia="仿宋_GB2312"/>
          <w:sz w:val="32"/>
          <w:szCs w:val="32"/>
        </w:rPr>
        <w:t>科学健身素养</w:t>
      </w:r>
      <w:r>
        <w:rPr>
          <w:rFonts w:hint="eastAsia" w:ascii="仿宋_GB2312" w:eastAsia="仿宋_GB2312"/>
          <w:sz w:val="32"/>
          <w:szCs w:val="32"/>
        </w:rPr>
        <w:t>，普及</w:t>
      </w:r>
      <w:r>
        <w:rPr>
          <w:rFonts w:ascii="仿宋_GB2312" w:eastAsia="仿宋_GB2312"/>
          <w:sz w:val="32"/>
          <w:szCs w:val="32"/>
        </w:rPr>
        <w:t>科学健身知识，</w:t>
      </w:r>
      <w:r>
        <w:rPr>
          <w:rFonts w:hint="eastAsia" w:ascii="仿宋_GB2312" w:eastAsia="仿宋_GB2312"/>
          <w:sz w:val="32"/>
          <w:szCs w:val="32"/>
        </w:rPr>
        <w:t>同时提高</w:t>
      </w:r>
      <w:r>
        <w:rPr>
          <w:rFonts w:ascii="仿宋_GB2312" w:eastAsia="仿宋_GB2312"/>
          <w:sz w:val="32"/>
          <w:szCs w:val="32"/>
        </w:rPr>
        <w:t>市民体质达标率</w:t>
      </w:r>
      <w:r>
        <w:rPr>
          <w:rFonts w:hint="eastAsia" w:ascii="仿宋_GB2312" w:eastAsia="仿宋_GB2312"/>
          <w:sz w:val="32"/>
          <w:szCs w:val="32"/>
        </w:rPr>
        <w:t>。本次体质测试内容包括身体形态、素质、机能等。测试项目有身高、体重、高抬腿走-左腿、握力、选择反应时、闭眼单脚站立、肺活量、体成分、心肺功能等。通过科学检测、数据分析，让辖区内居民准确了解自身的体质健康状况，从而进行针对性的身体训练。</w:t>
      </w:r>
    </w:p>
    <w:p>
      <w:pPr>
        <w:pStyle w:val="2"/>
        <w:kinsoku w:val="0"/>
        <w:overflowPunct w:val="0"/>
        <w:spacing w:beforeLines="0" w:afterLines="0"/>
        <w:ind w:left="0" w:leftChars="0" w:firstLine="0" w:firstLineChars="0"/>
        <w:rPr>
          <w:rFonts w:hint="eastAsia"/>
          <w:sz w:val="32"/>
        </w:rPr>
      </w:pPr>
      <w:r>
        <w:rPr>
          <w:rFonts w:hint="eastAsia"/>
          <w:sz w:val="32"/>
        </w:rPr>
        <w:t>二、主动公开政府信息情况</w:t>
      </w:r>
    </w:p>
    <w:tbl>
      <w:tblPr>
        <w:tblStyle w:val="4"/>
        <w:tblpPr w:leftFromText="180" w:rightFromText="180" w:vertAnchor="text" w:horzAnchor="page" w:tblpX="1149" w:tblpY="24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exact"/>
        </w:trPr>
        <w:tc>
          <w:tcPr>
            <w:tcW w:w="9740" w:type="dxa"/>
            <w:gridSpan w:val="4"/>
            <w:tcBorders>
              <w:top w:val="single" w:color="000000" w:sz="6" w:space="0"/>
              <w:left w:val="single" w:color="000000" w:sz="6" w:space="0"/>
              <w:bottom w:val="single" w:color="000000" w:sz="6" w:space="0"/>
              <w:right w:val="single" w:color="000000" w:sz="6" w:space="0"/>
              <w:tl2br w:val="nil"/>
              <w:tr2bl w:val="nil"/>
            </w:tcBorders>
            <w:shd w:val="clear" w:color="auto" w:fill="9BC2E6"/>
            <w:noWrap w:val="0"/>
            <w:vAlign w:val="top"/>
          </w:tcPr>
          <w:p>
            <w:pPr>
              <w:pStyle w:val="6"/>
              <w:kinsoku w:val="0"/>
              <w:overflowPunct w:val="0"/>
              <w:spacing w:before="10" w:beforeLines="0" w:afterLines="0"/>
              <w:jc w:val="center"/>
              <w:rPr>
                <w:rFonts w:hint="default"/>
                <w:sz w:val="24"/>
              </w:rPr>
            </w:pPr>
            <w:r>
              <w:rPr>
                <w:rFonts w:hint="eastAsia" w:ascii="宋体" w:hAnsi="宋体" w:eastAsia="宋体"/>
                <w:sz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exact"/>
        </w:trPr>
        <w:tc>
          <w:tcPr>
            <w:tcW w:w="2435" w:type="dxa"/>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pStyle w:val="6"/>
              <w:kinsoku w:val="0"/>
              <w:overflowPunct w:val="0"/>
              <w:spacing w:before="10" w:beforeLines="0" w:afterLines="0"/>
              <w:jc w:val="center"/>
              <w:rPr>
                <w:rFonts w:hint="default"/>
                <w:sz w:val="24"/>
              </w:rPr>
            </w:pPr>
            <w:r>
              <w:rPr>
                <w:rFonts w:hint="eastAsia" w:ascii="宋体" w:hAnsi="宋体" w:eastAsia="宋体"/>
                <w:sz w:val="20"/>
              </w:rPr>
              <w:t>信息内容</w:t>
            </w:r>
          </w:p>
        </w:tc>
        <w:tc>
          <w:tcPr>
            <w:tcW w:w="2435"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10" w:beforeLines="0" w:afterLines="0"/>
              <w:ind w:left="606"/>
              <w:rPr>
                <w:rFonts w:hint="default"/>
                <w:sz w:val="24"/>
              </w:rPr>
            </w:pPr>
            <w:r>
              <w:rPr>
                <w:rFonts w:hint="eastAsia" w:ascii="宋体" w:hAnsi="宋体" w:eastAsia="宋体"/>
                <w:sz w:val="20"/>
              </w:rPr>
              <w:t>本年制发件数</w:t>
            </w:r>
          </w:p>
        </w:tc>
        <w:tc>
          <w:tcPr>
            <w:tcW w:w="2435"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10" w:beforeLines="0" w:afterLines="0"/>
              <w:ind w:left="607"/>
              <w:rPr>
                <w:rFonts w:hint="default"/>
                <w:sz w:val="24"/>
              </w:rPr>
            </w:pPr>
            <w:r>
              <w:rPr>
                <w:rFonts w:hint="eastAsia" w:ascii="宋体" w:hAnsi="宋体" w:eastAsia="宋体"/>
                <w:sz w:val="20"/>
              </w:rPr>
              <w:t>本年废止件数</w:t>
            </w:r>
          </w:p>
        </w:tc>
        <w:tc>
          <w:tcPr>
            <w:tcW w:w="2435"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10" w:beforeLines="0" w:afterLines="0"/>
              <w:ind w:left="606"/>
              <w:rPr>
                <w:rFonts w:hint="default"/>
                <w:sz w:val="24"/>
              </w:rPr>
            </w:pPr>
            <w:r>
              <w:rPr>
                <w:rFonts w:hint="eastAsia" w:ascii="宋体" w:hAnsi="宋体" w:eastAsia="宋体"/>
                <w:sz w:val="20"/>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exact"/>
        </w:trPr>
        <w:tc>
          <w:tcPr>
            <w:tcW w:w="2435" w:type="dxa"/>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pStyle w:val="6"/>
              <w:kinsoku w:val="0"/>
              <w:overflowPunct w:val="0"/>
              <w:spacing w:before="10" w:beforeLines="0" w:afterLines="0"/>
              <w:ind w:left="46"/>
              <w:rPr>
                <w:rFonts w:hint="default"/>
                <w:sz w:val="24"/>
              </w:rPr>
            </w:pPr>
            <w:r>
              <w:rPr>
                <w:rFonts w:hint="eastAsia" w:ascii="宋体" w:hAnsi="宋体" w:eastAsia="宋体"/>
                <w:sz w:val="20"/>
              </w:rPr>
              <w:t>规章</w:t>
            </w:r>
          </w:p>
        </w:tc>
        <w:tc>
          <w:tcPr>
            <w:tcW w:w="243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eastAsia="宋体"/>
                <w:sz w:val="21"/>
                <w:szCs w:val="21"/>
                <w:lang w:val="en-US" w:eastAsia="zh-CN"/>
              </w:rPr>
            </w:pPr>
            <w:r>
              <w:rPr>
                <w:rFonts w:hint="eastAsia"/>
                <w:sz w:val="21"/>
                <w:szCs w:val="21"/>
                <w:lang w:val="en-US" w:eastAsia="zh-CN"/>
              </w:rPr>
              <w:t>0</w:t>
            </w:r>
          </w:p>
        </w:tc>
        <w:tc>
          <w:tcPr>
            <w:tcW w:w="243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eastAsia="宋体"/>
                <w:sz w:val="21"/>
                <w:szCs w:val="21"/>
                <w:lang w:val="en-US" w:eastAsia="zh-CN"/>
              </w:rPr>
            </w:pPr>
            <w:r>
              <w:rPr>
                <w:rFonts w:hint="eastAsia"/>
                <w:sz w:val="21"/>
                <w:szCs w:val="21"/>
                <w:lang w:val="en-US" w:eastAsia="zh-CN"/>
              </w:rPr>
              <w:t>0</w:t>
            </w:r>
          </w:p>
        </w:tc>
        <w:tc>
          <w:tcPr>
            <w:tcW w:w="243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eastAsia="宋体"/>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exact"/>
        </w:trPr>
        <w:tc>
          <w:tcPr>
            <w:tcW w:w="2435" w:type="dxa"/>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pStyle w:val="6"/>
              <w:kinsoku w:val="0"/>
              <w:overflowPunct w:val="0"/>
              <w:spacing w:before="10" w:beforeLines="0" w:afterLines="0"/>
              <w:ind w:left="46"/>
              <w:rPr>
                <w:rFonts w:hint="default"/>
                <w:sz w:val="24"/>
              </w:rPr>
            </w:pPr>
            <w:r>
              <w:rPr>
                <w:rFonts w:hint="eastAsia" w:ascii="宋体" w:hAnsi="宋体" w:eastAsia="宋体"/>
                <w:sz w:val="20"/>
              </w:rPr>
              <w:t>行政规范性文件</w:t>
            </w:r>
          </w:p>
        </w:tc>
        <w:tc>
          <w:tcPr>
            <w:tcW w:w="243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eastAsia="宋体"/>
                <w:sz w:val="21"/>
                <w:szCs w:val="21"/>
                <w:lang w:val="en-US" w:eastAsia="zh-CN"/>
              </w:rPr>
            </w:pPr>
            <w:r>
              <w:rPr>
                <w:rFonts w:hint="eastAsia"/>
                <w:sz w:val="21"/>
                <w:szCs w:val="21"/>
                <w:lang w:val="en-US" w:eastAsia="zh-CN"/>
              </w:rPr>
              <w:t>0</w:t>
            </w:r>
          </w:p>
        </w:tc>
        <w:tc>
          <w:tcPr>
            <w:tcW w:w="243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eastAsia="宋体"/>
                <w:sz w:val="21"/>
                <w:szCs w:val="21"/>
                <w:lang w:val="en-US" w:eastAsia="zh-CN"/>
              </w:rPr>
            </w:pPr>
            <w:r>
              <w:rPr>
                <w:rFonts w:hint="eastAsia"/>
                <w:sz w:val="21"/>
                <w:szCs w:val="21"/>
                <w:lang w:val="en-US" w:eastAsia="zh-CN"/>
              </w:rPr>
              <w:t>0</w:t>
            </w:r>
          </w:p>
        </w:tc>
        <w:tc>
          <w:tcPr>
            <w:tcW w:w="243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eastAsia="宋体"/>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exact"/>
        </w:trPr>
        <w:tc>
          <w:tcPr>
            <w:tcW w:w="9740" w:type="dxa"/>
            <w:gridSpan w:val="4"/>
            <w:tcBorders>
              <w:top w:val="single" w:color="000000" w:sz="6" w:space="0"/>
              <w:left w:val="single" w:color="000000" w:sz="6" w:space="0"/>
              <w:bottom w:val="single" w:color="000000" w:sz="6" w:space="0"/>
              <w:right w:val="single" w:color="000000" w:sz="6" w:space="0"/>
              <w:tl2br w:val="nil"/>
              <w:tr2bl w:val="nil"/>
            </w:tcBorders>
            <w:shd w:val="clear" w:color="auto" w:fill="9BC2E6"/>
            <w:noWrap w:val="0"/>
            <w:vAlign w:val="top"/>
          </w:tcPr>
          <w:p>
            <w:pPr>
              <w:pStyle w:val="6"/>
              <w:kinsoku w:val="0"/>
              <w:overflowPunct w:val="0"/>
              <w:spacing w:before="11" w:beforeLines="0" w:afterLines="0"/>
              <w:jc w:val="center"/>
              <w:rPr>
                <w:rFonts w:hint="default"/>
                <w:sz w:val="24"/>
              </w:rPr>
            </w:pPr>
            <w:r>
              <w:rPr>
                <w:rFonts w:hint="eastAsia" w:ascii="宋体" w:hAnsi="宋体" w:eastAsia="宋体"/>
                <w:sz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exact"/>
        </w:trPr>
        <w:tc>
          <w:tcPr>
            <w:tcW w:w="2435" w:type="dxa"/>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pStyle w:val="6"/>
              <w:kinsoku w:val="0"/>
              <w:overflowPunct w:val="0"/>
              <w:spacing w:before="11" w:beforeLines="0" w:afterLines="0"/>
              <w:jc w:val="center"/>
              <w:rPr>
                <w:rFonts w:hint="default"/>
                <w:sz w:val="24"/>
              </w:rPr>
            </w:pPr>
            <w:r>
              <w:rPr>
                <w:rFonts w:hint="eastAsia" w:ascii="宋体" w:hAnsi="宋体" w:eastAsia="宋体"/>
                <w:sz w:val="20"/>
              </w:rPr>
              <w:t>信息内容</w:t>
            </w:r>
          </w:p>
        </w:tc>
        <w:tc>
          <w:tcPr>
            <w:tcW w:w="7305" w:type="dxa"/>
            <w:gridSpan w:val="3"/>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11" w:beforeLines="0" w:afterLines="0"/>
              <w:jc w:val="center"/>
              <w:rPr>
                <w:rFonts w:hint="default"/>
                <w:sz w:val="24"/>
              </w:rPr>
            </w:pPr>
            <w:r>
              <w:rPr>
                <w:rFonts w:hint="eastAsia" w:ascii="宋体" w:hAnsi="宋体" w:eastAsia="宋体"/>
                <w:sz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exact"/>
        </w:trPr>
        <w:tc>
          <w:tcPr>
            <w:tcW w:w="2435" w:type="dxa"/>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pStyle w:val="6"/>
              <w:kinsoku w:val="0"/>
              <w:overflowPunct w:val="0"/>
              <w:spacing w:before="10" w:beforeLines="0" w:afterLines="0"/>
              <w:ind w:left="46"/>
              <w:rPr>
                <w:rFonts w:hint="default"/>
                <w:sz w:val="24"/>
              </w:rPr>
            </w:pPr>
            <w:r>
              <w:rPr>
                <w:rFonts w:hint="eastAsia" w:ascii="宋体" w:hAnsi="宋体" w:eastAsia="宋体"/>
                <w:sz w:val="20"/>
              </w:rPr>
              <w:t>行政许可</w:t>
            </w:r>
          </w:p>
        </w:tc>
        <w:tc>
          <w:tcPr>
            <w:tcW w:w="7305" w:type="dxa"/>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default" w:eastAsia="宋体"/>
                <w:sz w:val="24"/>
                <w:lang w:val="en-US" w:eastAsia="zh-CN"/>
              </w:rPr>
            </w:pPr>
            <w:r>
              <w:rPr>
                <w:rFonts w:hint="eastAsia"/>
                <w:sz w:val="21"/>
                <w:szCs w:val="21"/>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exact"/>
        </w:trPr>
        <w:tc>
          <w:tcPr>
            <w:tcW w:w="9740" w:type="dxa"/>
            <w:gridSpan w:val="4"/>
            <w:tcBorders>
              <w:top w:val="single" w:color="000000" w:sz="6" w:space="0"/>
              <w:left w:val="single" w:color="000000" w:sz="6" w:space="0"/>
              <w:bottom w:val="single" w:color="000000" w:sz="6" w:space="0"/>
              <w:right w:val="single" w:color="000000" w:sz="6" w:space="0"/>
              <w:tl2br w:val="nil"/>
              <w:tr2bl w:val="nil"/>
            </w:tcBorders>
            <w:shd w:val="clear" w:color="auto" w:fill="9BC2E6"/>
            <w:noWrap w:val="0"/>
            <w:vAlign w:val="top"/>
          </w:tcPr>
          <w:p>
            <w:pPr>
              <w:pStyle w:val="6"/>
              <w:kinsoku w:val="0"/>
              <w:overflowPunct w:val="0"/>
              <w:spacing w:before="11" w:beforeLines="0" w:afterLines="0"/>
              <w:jc w:val="center"/>
              <w:rPr>
                <w:rFonts w:hint="default"/>
                <w:sz w:val="24"/>
              </w:rPr>
            </w:pPr>
            <w:r>
              <w:rPr>
                <w:rFonts w:hint="eastAsia" w:ascii="宋体" w:hAnsi="宋体" w:eastAsia="宋体"/>
                <w:sz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exact"/>
        </w:trPr>
        <w:tc>
          <w:tcPr>
            <w:tcW w:w="2435" w:type="dxa"/>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pStyle w:val="6"/>
              <w:kinsoku w:val="0"/>
              <w:overflowPunct w:val="0"/>
              <w:spacing w:before="10" w:beforeLines="0" w:afterLines="0"/>
              <w:jc w:val="center"/>
              <w:rPr>
                <w:rFonts w:hint="default"/>
                <w:sz w:val="24"/>
              </w:rPr>
            </w:pPr>
            <w:r>
              <w:rPr>
                <w:rFonts w:hint="eastAsia" w:ascii="宋体" w:hAnsi="宋体" w:eastAsia="宋体"/>
                <w:sz w:val="20"/>
              </w:rPr>
              <w:t>信息内容</w:t>
            </w:r>
          </w:p>
        </w:tc>
        <w:tc>
          <w:tcPr>
            <w:tcW w:w="7305" w:type="dxa"/>
            <w:gridSpan w:val="3"/>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10" w:beforeLines="0" w:afterLines="0"/>
              <w:jc w:val="center"/>
              <w:rPr>
                <w:rFonts w:hint="default"/>
                <w:sz w:val="24"/>
              </w:rPr>
            </w:pPr>
            <w:r>
              <w:rPr>
                <w:rFonts w:hint="eastAsia" w:ascii="宋体" w:hAnsi="宋体" w:eastAsia="宋体"/>
                <w:sz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exact"/>
        </w:trPr>
        <w:tc>
          <w:tcPr>
            <w:tcW w:w="2435" w:type="dxa"/>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pStyle w:val="6"/>
              <w:kinsoku w:val="0"/>
              <w:overflowPunct w:val="0"/>
              <w:spacing w:before="10" w:beforeLines="0" w:afterLines="0"/>
              <w:ind w:left="46"/>
              <w:rPr>
                <w:rFonts w:hint="default"/>
                <w:sz w:val="24"/>
              </w:rPr>
            </w:pPr>
            <w:r>
              <w:rPr>
                <w:rFonts w:hint="eastAsia" w:ascii="宋体" w:hAnsi="宋体" w:eastAsia="宋体"/>
                <w:sz w:val="20"/>
              </w:rPr>
              <w:t>行政处罚</w:t>
            </w:r>
          </w:p>
        </w:tc>
        <w:tc>
          <w:tcPr>
            <w:tcW w:w="7305" w:type="dxa"/>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eastAsia="宋体"/>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exact"/>
        </w:trPr>
        <w:tc>
          <w:tcPr>
            <w:tcW w:w="2435" w:type="dxa"/>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pStyle w:val="6"/>
              <w:kinsoku w:val="0"/>
              <w:overflowPunct w:val="0"/>
              <w:spacing w:before="10" w:beforeLines="0" w:afterLines="0"/>
              <w:ind w:left="46"/>
              <w:rPr>
                <w:rFonts w:hint="default"/>
                <w:sz w:val="24"/>
              </w:rPr>
            </w:pPr>
            <w:r>
              <w:rPr>
                <w:rFonts w:hint="eastAsia" w:ascii="宋体" w:hAnsi="宋体" w:eastAsia="宋体"/>
                <w:sz w:val="20"/>
              </w:rPr>
              <w:t>行政强制</w:t>
            </w:r>
          </w:p>
        </w:tc>
        <w:tc>
          <w:tcPr>
            <w:tcW w:w="7305" w:type="dxa"/>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eastAsia="宋体"/>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exact"/>
        </w:trPr>
        <w:tc>
          <w:tcPr>
            <w:tcW w:w="9740" w:type="dxa"/>
            <w:gridSpan w:val="4"/>
            <w:tcBorders>
              <w:top w:val="single" w:color="000000" w:sz="6" w:space="0"/>
              <w:left w:val="single" w:color="000000" w:sz="6" w:space="0"/>
              <w:bottom w:val="single" w:color="000000" w:sz="6" w:space="0"/>
              <w:right w:val="single" w:color="000000" w:sz="6" w:space="0"/>
              <w:tl2br w:val="nil"/>
              <w:tr2bl w:val="nil"/>
            </w:tcBorders>
            <w:shd w:val="clear" w:color="auto" w:fill="9BC2E6"/>
            <w:noWrap w:val="0"/>
            <w:vAlign w:val="top"/>
          </w:tcPr>
          <w:p>
            <w:pPr>
              <w:pStyle w:val="6"/>
              <w:kinsoku w:val="0"/>
              <w:overflowPunct w:val="0"/>
              <w:spacing w:before="11" w:beforeLines="0" w:afterLines="0"/>
              <w:jc w:val="center"/>
              <w:rPr>
                <w:rFonts w:hint="default"/>
                <w:sz w:val="24"/>
              </w:rPr>
            </w:pPr>
            <w:r>
              <w:rPr>
                <w:rFonts w:hint="eastAsia" w:ascii="宋体" w:hAnsi="宋体" w:eastAsia="宋体"/>
                <w:sz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exact"/>
        </w:trPr>
        <w:tc>
          <w:tcPr>
            <w:tcW w:w="2435" w:type="dxa"/>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pStyle w:val="6"/>
              <w:kinsoku w:val="0"/>
              <w:overflowPunct w:val="0"/>
              <w:spacing w:before="11" w:beforeLines="0" w:afterLines="0"/>
              <w:jc w:val="center"/>
              <w:rPr>
                <w:rFonts w:hint="default"/>
                <w:sz w:val="24"/>
              </w:rPr>
            </w:pPr>
            <w:r>
              <w:rPr>
                <w:rFonts w:hint="eastAsia" w:ascii="宋体" w:hAnsi="宋体" w:eastAsia="宋体"/>
                <w:sz w:val="20"/>
              </w:rPr>
              <w:t>信息内容</w:t>
            </w:r>
          </w:p>
        </w:tc>
        <w:tc>
          <w:tcPr>
            <w:tcW w:w="7305" w:type="dxa"/>
            <w:gridSpan w:val="3"/>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11" w:beforeLines="0" w:afterLines="0"/>
              <w:ind w:left="2341"/>
              <w:rPr>
                <w:rFonts w:hint="default"/>
                <w:sz w:val="24"/>
              </w:rPr>
            </w:pPr>
            <w:r>
              <w:rPr>
                <w:rFonts w:hint="eastAsia" w:ascii="宋体" w:hAnsi="宋体" w:eastAsia="宋体"/>
                <w:sz w:val="2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exact"/>
        </w:trPr>
        <w:tc>
          <w:tcPr>
            <w:tcW w:w="2435" w:type="dxa"/>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pStyle w:val="6"/>
              <w:kinsoku w:val="0"/>
              <w:overflowPunct w:val="0"/>
              <w:spacing w:before="10" w:beforeLines="0" w:afterLines="0"/>
              <w:ind w:left="46"/>
              <w:rPr>
                <w:rFonts w:hint="default"/>
                <w:sz w:val="24"/>
              </w:rPr>
            </w:pPr>
            <w:r>
              <w:rPr>
                <w:rFonts w:hint="eastAsia" w:ascii="宋体" w:hAnsi="宋体" w:eastAsia="宋体"/>
                <w:sz w:val="20"/>
              </w:rPr>
              <w:t>行政事业性收费</w:t>
            </w:r>
          </w:p>
        </w:tc>
        <w:tc>
          <w:tcPr>
            <w:tcW w:w="7305" w:type="dxa"/>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eastAsia="宋体"/>
                <w:sz w:val="24"/>
                <w:lang w:val="en-US" w:eastAsia="zh-CN"/>
              </w:rPr>
            </w:pPr>
            <w:r>
              <w:rPr>
                <w:rFonts w:hint="eastAsia"/>
                <w:sz w:val="21"/>
                <w:szCs w:val="21"/>
                <w:lang w:val="en-US" w:eastAsia="zh-CN"/>
              </w:rPr>
              <w:t>0</w:t>
            </w:r>
          </w:p>
        </w:tc>
      </w:tr>
    </w:tbl>
    <w:p/>
    <w:p>
      <w:pPr>
        <w:pStyle w:val="2"/>
        <w:kinsoku w:val="0"/>
        <w:overflowPunct w:val="0"/>
        <w:spacing w:beforeLines="0" w:afterLines="0" w:line="397" w:lineRule="exact"/>
        <w:ind w:left="0" w:leftChars="0" w:firstLine="0" w:firstLineChars="0"/>
        <w:rPr>
          <w:rFonts w:hint="eastAsia"/>
          <w:sz w:val="32"/>
        </w:rPr>
      </w:pPr>
    </w:p>
    <w:p>
      <w:pPr>
        <w:pStyle w:val="2"/>
        <w:kinsoku w:val="0"/>
        <w:overflowPunct w:val="0"/>
        <w:spacing w:beforeLines="0" w:afterLines="0" w:line="397" w:lineRule="exact"/>
        <w:ind w:left="0" w:leftChars="0" w:firstLine="0" w:firstLineChars="0"/>
        <w:rPr>
          <w:rFonts w:hint="eastAsia"/>
          <w:sz w:val="32"/>
        </w:rPr>
      </w:pPr>
      <w:r>
        <w:rPr>
          <w:rFonts w:hint="eastAsia"/>
          <w:sz w:val="32"/>
        </w:rPr>
        <w:t>三、收到和处理政府信息公开申请情况</w:t>
      </w:r>
    </w:p>
    <w:tbl>
      <w:tblPr>
        <w:tblStyle w:val="4"/>
        <w:tblpPr w:leftFromText="180" w:rightFromText="180" w:vertAnchor="text" w:horzAnchor="page" w:tblpX="1079" w:tblpY="602"/>
        <w:tblOverlap w:val="never"/>
        <w:tblW w:w="97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4931" w:type="dxa"/>
            <w:gridSpan w:val="3"/>
            <w:vMerge w:val="restart"/>
            <w:tcBorders>
              <w:top w:val="single" w:color="000000" w:sz="6" w:space="0"/>
              <w:left w:val="single" w:color="000000" w:sz="6" w:space="0"/>
              <w:bottom w:val="single" w:color="000000" w:sz="6" w:space="0"/>
              <w:right w:val="single" w:color="000000" w:sz="6" w:space="0"/>
              <w:tl2br w:val="nil"/>
              <w:tr2bl w:val="nil"/>
            </w:tcBorders>
            <w:shd w:val="clear" w:color="auto" w:fill="9BC2E6"/>
            <w:noWrap w:val="0"/>
            <w:vAlign w:val="top"/>
          </w:tcPr>
          <w:p>
            <w:pPr>
              <w:pStyle w:val="6"/>
              <w:kinsoku w:val="0"/>
              <w:overflowPunct w:val="0"/>
              <w:spacing w:beforeLines="0" w:afterLines="0"/>
              <w:rPr>
                <w:rFonts w:hint="eastAsia" w:ascii="黑体" w:hAnsi="黑体" w:eastAsia="黑体"/>
                <w:sz w:val="20"/>
              </w:rPr>
            </w:pPr>
          </w:p>
          <w:p>
            <w:pPr>
              <w:pStyle w:val="6"/>
              <w:kinsoku w:val="0"/>
              <w:overflowPunct w:val="0"/>
              <w:spacing w:beforeLines="0" w:afterLines="0"/>
              <w:rPr>
                <w:rFonts w:hint="eastAsia" w:ascii="黑体" w:hAnsi="黑体" w:eastAsia="黑体"/>
                <w:sz w:val="17"/>
              </w:rPr>
            </w:pPr>
          </w:p>
          <w:p>
            <w:pPr>
              <w:pStyle w:val="6"/>
              <w:kinsoku w:val="0"/>
              <w:overflowPunct w:val="0"/>
              <w:spacing w:beforeLines="0" w:afterLines="0" w:line="285" w:lineRule="auto"/>
              <w:ind w:left="99" w:right="99"/>
              <w:rPr>
                <w:rFonts w:hint="default"/>
                <w:sz w:val="24"/>
              </w:rPr>
            </w:pPr>
            <w:r>
              <w:rPr>
                <w:rFonts w:hint="eastAsia" w:ascii="楷体" w:hAnsi="楷体" w:eastAsia="楷体"/>
                <w:spacing w:val="-4"/>
                <w:sz w:val="20"/>
              </w:rPr>
              <w:t>（本列数据的勾稽关系为：第一项加第二项之和，等于</w:t>
            </w:r>
            <w:r>
              <w:rPr>
                <w:rFonts w:hint="eastAsia" w:ascii="楷体" w:hAnsi="楷体" w:eastAsia="楷体"/>
                <w:w w:val="99"/>
                <w:sz w:val="20"/>
              </w:rPr>
              <w:t xml:space="preserve"> </w:t>
            </w:r>
            <w:r>
              <w:rPr>
                <w:rFonts w:hint="eastAsia" w:ascii="楷体" w:hAnsi="楷体" w:eastAsia="楷体"/>
                <w:sz w:val="20"/>
              </w:rPr>
              <w:t>第三项加第四项之和）</w:t>
            </w:r>
          </w:p>
        </w:tc>
        <w:tc>
          <w:tcPr>
            <w:tcW w:w="4817" w:type="dxa"/>
            <w:gridSpan w:val="7"/>
            <w:tcBorders>
              <w:top w:val="single" w:color="000000" w:sz="6" w:space="0"/>
              <w:left w:val="single" w:color="000000" w:sz="6" w:space="0"/>
              <w:bottom w:val="single" w:color="000000" w:sz="6" w:space="0"/>
              <w:right w:val="single" w:color="000000" w:sz="6" w:space="0"/>
              <w:tl2br w:val="nil"/>
              <w:tr2bl w:val="nil"/>
            </w:tcBorders>
            <w:shd w:val="clear" w:color="auto" w:fill="9BC2E6"/>
            <w:noWrap w:val="0"/>
            <w:vAlign w:val="top"/>
          </w:tcPr>
          <w:p>
            <w:pPr>
              <w:pStyle w:val="6"/>
              <w:kinsoku w:val="0"/>
              <w:overflowPunct w:val="0"/>
              <w:spacing w:beforeLines="0" w:afterLines="0" w:line="256" w:lineRule="exact"/>
              <w:ind w:right="1"/>
              <w:jc w:val="center"/>
              <w:rPr>
                <w:rFonts w:hint="default"/>
                <w:sz w:val="24"/>
              </w:rPr>
            </w:pPr>
            <w:r>
              <w:rPr>
                <w:rFonts w:hint="eastAsia" w:ascii="宋体" w:hAnsi="宋体" w:eastAsia="宋体"/>
                <w:sz w:val="2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4931" w:type="dxa"/>
            <w:gridSpan w:val="3"/>
            <w:vMerge w:val="continue"/>
            <w:tcBorders>
              <w:top w:val="single" w:color="000000" w:sz="6" w:space="0"/>
              <w:left w:val="single" w:color="000000" w:sz="6" w:space="0"/>
              <w:bottom w:val="single" w:color="000000" w:sz="6" w:space="0"/>
              <w:right w:val="single" w:color="000000" w:sz="6" w:space="0"/>
              <w:tl2br w:val="nil"/>
              <w:tr2bl w:val="nil"/>
            </w:tcBorders>
            <w:shd w:val="clear" w:color="auto" w:fill="9BC2E6"/>
            <w:noWrap w:val="0"/>
            <w:vAlign w:val="top"/>
          </w:tcPr>
          <w:p>
            <w:pPr>
              <w:pStyle w:val="6"/>
              <w:kinsoku w:val="0"/>
              <w:overflowPunct w:val="0"/>
              <w:spacing w:beforeLines="0" w:afterLines="0" w:line="256" w:lineRule="exact"/>
              <w:ind w:right="1"/>
              <w:jc w:val="center"/>
              <w:rPr>
                <w:rFonts w:hint="default"/>
                <w:sz w:val="24"/>
              </w:rPr>
            </w:pPr>
          </w:p>
        </w:tc>
        <w:tc>
          <w:tcPr>
            <w:tcW w:w="688" w:type="dxa"/>
            <w:vMerge w:val="restart"/>
            <w:tcBorders>
              <w:top w:val="single" w:color="000000" w:sz="6" w:space="0"/>
              <w:left w:val="single" w:color="000000" w:sz="6" w:space="0"/>
              <w:bottom w:val="single" w:color="000000" w:sz="6" w:space="0"/>
              <w:right w:val="single" w:color="000000" w:sz="6" w:space="0"/>
              <w:tl2br w:val="nil"/>
              <w:tr2bl w:val="nil"/>
            </w:tcBorders>
            <w:shd w:val="clear" w:color="auto" w:fill="9BC2E6"/>
            <w:noWrap w:val="0"/>
            <w:vAlign w:val="top"/>
          </w:tcPr>
          <w:p>
            <w:pPr>
              <w:pStyle w:val="6"/>
              <w:kinsoku w:val="0"/>
              <w:overflowPunct w:val="0"/>
              <w:spacing w:beforeLines="0" w:afterLines="0" w:line="285" w:lineRule="auto"/>
              <w:ind w:right="134" w:firstLine="200" w:firstLineChars="100"/>
              <w:rPr>
                <w:rFonts w:hint="eastAsia" w:ascii="宋体" w:hAnsi="宋体" w:cs="宋体"/>
                <w:kern w:val="0"/>
                <w:sz w:val="20"/>
                <w:szCs w:val="20"/>
                <w:lang w:bidi="ar"/>
              </w:rPr>
            </w:pPr>
            <w:r>
              <w:rPr>
                <w:rFonts w:hint="eastAsia" w:ascii="宋体" w:hAnsi="宋体" w:cs="宋体"/>
                <w:kern w:val="0"/>
                <w:sz w:val="20"/>
                <w:szCs w:val="20"/>
                <w:lang w:bidi="ar"/>
              </w:rPr>
              <w:t>自</w:t>
            </w:r>
          </w:p>
          <w:p>
            <w:pPr>
              <w:pStyle w:val="6"/>
              <w:kinsoku w:val="0"/>
              <w:overflowPunct w:val="0"/>
              <w:spacing w:beforeLines="0" w:afterLines="0" w:line="285" w:lineRule="auto"/>
              <w:ind w:right="134" w:firstLine="200" w:firstLineChars="100"/>
              <w:rPr>
                <w:rFonts w:hint="eastAsia" w:ascii="宋体" w:hAnsi="宋体" w:cs="宋体"/>
                <w:kern w:val="0"/>
                <w:sz w:val="20"/>
                <w:szCs w:val="20"/>
                <w:lang w:bidi="ar"/>
              </w:rPr>
            </w:pPr>
            <w:r>
              <w:rPr>
                <w:rFonts w:hint="eastAsia" w:ascii="宋体" w:hAnsi="宋体" w:cs="宋体"/>
                <w:kern w:val="0"/>
                <w:sz w:val="20"/>
                <w:szCs w:val="20"/>
                <w:lang w:bidi="ar"/>
              </w:rPr>
              <w:t>然</w:t>
            </w:r>
          </w:p>
          <w:p>
            <w:pPr>
              <w:pStyle w:val="6"/>
              <w:kinsoku w:val="0"/>
              <w:overflowPunct w:val="0"/>
              <w:spacing w:beforeLines="0" w:afterLines="0" w:line="285" w:lineRule="auto"/>
              <w:ind w:right="134" w:firstLine="200" w:firstLineChars="100"/>
              <w:rPr>
                <w:rFonts w:hint="default"/>
                <w:sz w:val="24"/>
              </w:rPr>
            </w:pPr>
            <w:r>
              <w:rPr>
                <w:rFonts w:hint="eastAsia" w:ascii="宋体" w:hAnsi="宋体" w:cs="宋体"/>
                <w:kern w:val="0"/>
                <w:sz w:val="20"/>
                <w:szCs w:val="20"/>
                <w:lang w:bidi="ar"/>
              </w:rPr>
              <w:t>人</w:t>
            </w:r>
          </w:p>
        </w:tc>
        <w:tc>
          <w:tcPr>
            <w:tcW w:w="3440" w:type="dxa"/>
            <w:gridSpan w:val="5"/>
            <w:tcBorders>
              <w:top w:val="single" w:color="000000" w:sz="6" w:space="0"/>
              <w:left w:val="single" w:color="000000" w:sz="6" w:space="0"/>
              <w:bottom w:val="single" w:color="000000" w:sz="6" w:space="0"/>
              <w:right w:val="single" w:color="000000" w:sz="6" w:space="0"/>
              <w:tl2br w:val="nil"/>
              <w:tr2bl w:val="nil"/>
            </w:tcBorders>
            <w:shd w:val="clear" w:color="auto" w:fill="9BC2E6"/>
            <w:noWrap w:val="0"/>
            <w:vAlign w:val="top"/>
          </w:tcPr>
          <w:p>
            <w:pPr>
              <w:pStyle w:val="6"/>
              <w:kinsoku w:val="0"/>
              <w:overflowPunct w:val="0"/>
              <w:spacing w:beforeLines="0" w:afterLines="0" w:line="258" w:lineRule="exact"/>
              <w:ind w:left="1010"/>
              <w:rPr>
                <w:rFonts w:hint="default"/>
                <w:sz w:val="24"/>
              </w:rPr>
            </w:pPr>
            <w:r>
              <w:rPr>
                <w:rFonts w:hint="eastAsia" w:ascii="宋体" w:hAnsi="宋体" w:eastAsia="宋体"/>
                <w:sz w:val="20"/>
              </w:rPr>
              <w:t>法人或其他组织</w:t>
            </w:r>
          </w:p>
        </w:tc>
        <w:tc>
          <w:tcPr>
            <w:tcW w:w="689" w:type="dxa"/>
            <w:vMerge w:val="restart"/>
            <w:tcBorders>
              <w:top w:val="single" w:color="000000" w:sz="6" w:space="0"/>
              <w:left w:val="single" w:color="000000" w:sz="6" w:space="0"/>
              <w:bottom w:val="single" w:color="000000" w:sz="6" w:space="0"/>
              <w:right w:val="single" w:color="000000" w:sz="6" w:space="0"/>
              <w:tl2br w:val="nil"/>
              <w:tr2bl w:val="nil"/>
            </w:tcBorders>
            <w:shd w:val="clear" w:color="auto" w:fill="9BC2E6"/>
            <w:noWrap w:val="0"/>
            <w:vAlign w:val="top"/>
          </w:tcPr>
          <w:p>
            <w:pPr>
              <w:pStyle w:val="6"/>
              <w:kinsoku w:val="0"/>
              <w:overflowPunct w:val="0"/>
              <w:spacing w:beforeLines="0" w:afterLines="0"/>
              <w:rPr>
                <w:rFonts w:hint="eastAsia" w:ascii="黑体" w:hAnsi="黑体" w:eastAsia="黑体"/>
                <w:sz w:val="20"/>
              </w:rPr>
            </w:pPr>
          </w:p>
          <w:p>
            <w:pPr>
              <w:pStyle w:val="6"/>
              <w:kinsoku w:val="0"/>
              <w:overflowPunct w:val="0"/>
              <w:spacing w:before="3" w:beforeLines="0" w:afterLines="0"/>
              <w:rPr>
                <w:rFonts w:hint="eastAsia" w:ascii="黑体" w:hAnsi="黑体" w:eastAsia="黑体"/>
                <w:sz w:val="16"/>
              </w:rPr>
            </w:pPr>
          </w:p>
          <w:p>
            <w:pPr>
              <w:pStyle w:val="6"/>
              <w:kinsoku w:val="0"/>
              <w:overflowPunct w:val="0"/>
              <w:spacing w:beforeLines="0" w:afterLines="0"/>
              <w:ind w:left="134"/>
              <w:rPr>
                <w:rFonts w:hint="default"/>
                <w:sz w:val="24"/>
              </w:rPr>
            </w:pPr>
            <w:r>
              <w:rPr>
                <w:rFonts w:hint="eastAsia" w:ascii="宋体" w:hAnsi="宋体" w:eastAsia="宋体"/>
                <w:sz w:val="2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exact"/>
        </w:trPr>
        <w:tc>
          <w:tcPr>
            <w:tcW w:w="4931" w:type="dxa"/>
            <w:gridSpan w:val="3"/>
            <w:vMerge w:val="continue"/>
            <w:tcBorders>
              <w:top w:val="single" w:color="000000" w:sz="6" w:space="0"/>
              <w:left w:val="single" w:color="000000" w:sz="6" w:space="0"/>
              <w:bottom w:val="single" w:color="000000" w:sz="6" w:space="0"/>
              <w:right w:val="single" w:color="000000" w:sz="6" w:space="0"/>
              <w:tl2br w:val="nil"/>
              <w:tr2bl w:val="nil"/>
            </w:tcBorders>
            <w:shd w:val="clear" w:color="auto" w:fill="9BC2E6"/>
            <w:noWrap w:val="0"/>
            <w:vAlign w:val="top"/>
          </w:tcPr>
          <w:p>
            <w:pPr>
              <w:pStyle w:val="6"/>
              <w:kinsoku w:val="0"/>
              <w:overflowPunct w:val="0"/>
              <w:spacing w:beforeLines="0" w:afterLines="0"/>
              <w:ind w:left="134"/>
              <w:rPr>
                <w:rFonts w:hint="default"/>
                <w:sz w:val="24"/>
              </w:rPr>
            </w:pPr>
          </w:p>
        </w:tc>
        <w:tc>
          <w:tcPr>
            <w:tcW w:w="68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9BC2E6"/>
            <w:noWrap w:val="0"/>
            <w:vAlign w:val="top"/>
          </w:tcPr>
          <w:p>
            <w:pPr>
              <w:pStyle w:val="6"/>
              <w:kinsoku w:val="0"/>
              <w:overflowPunct w:val="0"/>
              <w:spacing w:beforeLines="0" w:afterLines="0"/>
              <w:ind w:left="134"/>
              <w:rPr>
                <w:rFonts w:hint="default"/>
                <w:sz w:val="24"/>
              </w:rPr>
            </w:pPr>
          </w:p>
        </w:tc>
        <w:tc>
          <w:tcPr>
            <w:tcW w:w="688" w:type="dxa"/>
            <w:tcBorders>
              <w:top w:val="single" w:color="000000" w:sz="6" w:space="0"/>
              <w:left w:val="single" w:color="000000" w:sz="6" w:space="0"/>
              <w:bottom w:val="single" w:color="000000" w:sz="6" w:space="0"/>
              <w:right w:val="single" w:color="000000" w:sz="6" w:space="0"/>
              <w:tl2br w:val="nil"/>
              <w:tr2bl w:val="nil"/>
            </w:tcBorders>
            <w:shd w:val="clear" w:color="auto" w:fill="9BC2E6"/>
            <w:noWrap w:val="0"/>
            <w:vAlign w:val="center"/>
          </w:tcPr>
          <w:p>
            <w:pPr>
              <w:widowControl/>
              <w:jc w:val="center"/>
            </w:pPr>
            <w:r>
              <w:rPr>
                <w:rFonts w:hint="eastAsia" w:ascii="宋体" w:hAnsi="宋体" w:cs="宋体"/>
                <w:kern w:val="0"/>
                <w:sz w:val="20"/>
                <w:szCs w:val="20"/>
                <w:lang w:bidi="ar"/>
              </w:rPr>
              <w:t>商业</w:t>
            </w:r>
          </w:p>
          <w:p>
            <w:pPr>
              <w:widowControl/>
              <w:jc w:val="center"/>
              <w:rPr>
                <w:rFonts w:hint="default"/>
                <w:sz w:val="24"/>
              </w:rPr>
            </w:pPr>
            <w:r>
              <w:rPr>
                <w:rFonts w:hint="eastAsia" w:ascii="宋体" w:hAnsi="宋体" w:cs="宋体"/>
                <w:kern w:val="0"/>
                <w:sz w:val="20"/>
                <w:szCs w:val="20"/>
                <w:lang w:bidi="ar"/>
              </w:rPr>
              <w:t>企业</w:t>
            </w:r>
          </w:p>
        </w:tc>
        <w:tc>
          <w:tcPr>
            <w:tcW w:w="688" w:type="dxa"/>
            <w:tcBorders>
              <w:top w:val="single" w:color="000000" w:sz="6" w:space="0"/>
              <w:left w:val="single" w:color="000000" w:sz="6" w:space="0"/>
              <w:bottom w:val="single" w:color="000000" w:sz="6" w:space="0"/>
              <w:right w:val="single" w:color="000000" w:sz="6" w:space="0"/>
              <w:tl2br w:val="nil"/>
              <w:tr2bl w:val="nil"/>
            </w:tcBorders>
            <w:shd w:val="clear" w:color="auto" w:fill="9BC2E6"/>
            <w:noWrap w:val="0"/>
            <w:vAlign w:val="center"/>
          </w:tcPr>
          <w:p>
            <w:pPr>
              <w:widowControl/>
              <w:jc w:val="center"/>
            </w:pPr>
            <w:r>
              <w:rPr>
                <w:rFonts w:hint="eastAsia" w:ascii="宋体" w:hAnsi="宋体" w:cs="宋体"/>
                <w:kern w:val="0"/>
                <w:sz w:val="20"/>
                <w:szCs w:val="20"/>
                <w:lang w:bidi="ar"/>
              </w:rPr>
              <w:t>科研</w:t>
            </w:r>
          </w:p>
          <w:p>
            <w:pPr>
              <w:widowControl/>
              <w:jc w:val="center"/>
              <w:rPr>
                <w:rFonts w:hint="default"/>
                <w:sz w:val="24"/>
              </w:rPr>
            </w:pPr>
            <w:r>
              <w:rPr>
                <w:rFonts w:hint="eastAsia" w:ascii="宋体" w:hAnsi="宋体" w:cs="宋体"/>
                <w:kern w:val="0"/>
                <w:sz w:val="20"/>
                <w:szCs w:val="20"/>
                <w:lang w:bidi="ar"/>
              </w:rPr>
              <w:t>机构</w:t>
            </w:r>
          </w:p>
        </w:tc>
        <w:tc>
          <w:tcPr>
            <w:tcW w:w="688" w:type="dxa"/>
            <w:tcBorders>
              <w:top w:val="single" w:color="000000" w:sz="6" w:space="0"/>
              <w:left w:val="single" w:color="000000" w:sz="6" w:space="0"/>
              <w:bottom w:val="single" w:color="000000" w:sz="6" w:space="0"/>
              <w:right w:val="single" w:color="000000" w:sz="6" w:space="0"/>
              <w:tl2br w:val="nil"/>
              <w:tr2bl w:val="nil"/>
            </w:tcBorders>
            <w:shd w:val="clear" w:color="auto" w:fill="9BC2E6"/>
            <w:noWrap w:val="0"/>
            <w:vAlign w:val="center"/>
          </w:tcPr>
          <w:p>
            <w:pPr>
              <w:widowControl/>
              <w:jc w:val="center"/>
              <w:rPr>
                <w:rFonts w:hint="default"/>
                <w:sz w:val="24"/>
              </w:rPr>
            </w:pPr>
            <w:r>
              <w:rPr>
                <w:rFonts w:hint="eastAsia" w:ascii="宋体" w:hAnsi="宋体" w:cs="宋体"/>
                <w:kern w:val="0"/>
                <w:sz w:val="20"/>
                <w:szCs w:val="20"/>
                <w:lang w:bidi="ar"/>
              </w:rPr>
              <w:t>社会公益组织</w:t>
            </w:r>
          </w:p>
        </w:tc>
        <w:tc>
          <w:tcPr>
            <w:tcW w:w="688" w:type="dxa"/>
            <w:tcBorders>
              <w:top w:val="single" w:color="000000" w:sz="6" w:space="0"/>
              <w:left w:val="single" w:color="000000" w:sz="6" w:space="0"/>
              <w:bottom w:val="single" w:color="000000" w:sz="6" w:space="0"/>
              <w:right w:val="single" w:color="000000" w:sz="6" w:space="0"/>
              <w:tl2br w:val="nil"/>
              <w:tr2bl w:val="nil"/>
            </w:tcBorders>
            <w:shd w:val="clear" w:color="auto" w:fill="9BC2E6"/>
            <w:noWrap w:val="0"/>
            <w:vAlign w:val="center"/>
          </w:tcPr>
          <w:p>
            <w:pPr>
              <w:widowControl/>
              <w:jc w:val="center"/>
              <w:rPr>
                <w:rFonts w:hint="default"/>
                <w:sz w:val="24"/>
              </w:rPr>
            </w:pPr>
            <w:r>
              <w:rPr>
                <w:rFonts w:hint="eastAsia" w:ascii="宋体" w:hAnsi="宋体" w:cs="宋体"/>
                <w:kern w:val="0"/>
                <w:sz w:val="20"/>
                <w:szCs w:val="20"/>
                <w:lang w:bidi="ar"/>
              </w:rPr>
              <w:t>法律服务机构</w:t>
            </w:r>
          </w:p>
        </w:tc>
        <w:tc>
          <w:tcPr>
            <w:tcW w:w="688" w:type="dxa"/>
            <w:tcBorders>
              <w:top w:val="single" w:color="000000" w:sz="6" w:space="0"/>
              <w:left w:val="single" w:color="000000" w:sz="6" w:space="0"/>
              <w:bottom w:val="single" w:color="000000" w:sz="6" w:space="0"/>
              <w:right w:val="single" w:color="000000" w:sz="6" w:space="0"/>
              <w:tl2br w:val="nil"/>
              <w:tr2bl w:val="nil"/>
            </w:tcBorders>
            <w:shd w:val="clear" w:color="auto" w:fill="9BC2E6"/>
            <w:noWrap w:val="0"/>
            <w:vAlign w:val="center"/>
          </w:tcPr>
          <w:p>
            <w:pPr>
              <w:widowControl/>
              <w:jc w:val="center"/>
              <w:rPr>
                <w:rFonts w:hint="default"/>
                <w:sz w:val="24"/>
              </w:rPr>
            </w:pPr>
            <w:r>
              <w:rPr>
                <w:rFonts w:hint="eastAsia" w:ascii="宋体" w:hAnsi="宋体" w:cs="宋体"/>
                <w:kern w:val="0"/>
                <w:sz w:val="20"/>
                <w:szCs w:val="20"/>
                <w:lang w:bidi="ar"/>
              </w:rPr>
              <w:t>其他</w:t>
            </w:r>
          </w:p>
        </w:tc>
        <w:tc>
          <w:tcPr>
            <w:tcW w:w="689"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9BC2E6"/>
            <w:noWrap w:val="0"/>
            <w:vAlign w:val="top"/>
          </w:tcPr>
          <w:p>
            <w:pPr>
              <w:pStyle w:val="6"/>
              <w:kinsoku w:val="0"/>
              <w:overflowPunct w:val="0"/>
              <w:spacing w:beforeLines="0" w:afterLines="0"/>
              <w:ind w:left="133"/>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4931" w:type="dxa"/>
            <w:gridSpan w:val="3"/>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pStyle w:val="6"/>
              <w:kinsoku w:val="0"/>
              <w:overflowPunct w:val="0"/>
              <w:spacing w:beforeLines="0" w:afterLines="0" w:line="256" w:lineRule="exact"/>
              <w:ind w:left="46"/>
              <w:rPr>
                <w:rFonts w:hint="default"/>
                <w:sz w:val="24"/>
              </w:rPr>
            </w:pPr>
            <w:r>
              <w:rPr>
                <w:rFonts w:hint="eastAsia" w:ascii="宋体" w:hAnsi="宋体" w:eastAsia="宋体"/>
                <w:sz w:val="20"/>
              </w:rPr>
              <w:t>一、本年新收政府信息公开申请数量</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4931" w:type="dxa"/>
            <w:gridSpan w:val="3"/>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pStyle w:val="6"/>
              <w:kinsoku w:val="0"/>
              <w:overflowPunct w:val="0"/>
              <w:spacing w:beforeLines="0" w:afterLines="0" w:line="258" w:lineRule="exact"/>
              <w:ind w:left="46"/>
              <w:rPr>
                <w:rFonts w:hint="default"/>
                <w:sz w:val="24"/>
              </w:rPr>
            </w:pPr>
            <w:r>
              <w:rPr>
                <w:rFonts w:hint="eastAsia" w:ascii="宋体" w:hAnsi="宋体" w:eastAsia="宋体"/>
                <w:sz w:val="20"/>
              </w:rPr>
              <w:t>二、上年结转政府信息公开申请数量</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768" w:type="dxa"/>
            <w:vMerge w:val="restart"/>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pStyle w:val="6"/>
              <w:kinsoku w:val="0"/>
              <w:overflowPunct w:val="0"/>
              <w:spacing w:beforeLines="0" w:afterLines="0"/>
              <w:rPr>
                <w:rFonts w:hint="eastAsia" w:ascii="黑体" w:hAnsi="黑体" w:eastAsia="黑体"/>
                <w:sz w:val="20"/>
              </w:rPr>
            </w:pPr>
          </w:p>
          <w:p>
            <w:pPr>
              <w:pStyle w:val="6"/>
              <w:kinsoku w:val="0"/>
              <w:overflowPunct w:val="0"/>
              <w:spacing w:beforeLines="0" w:afterLines="0"/>
              <w:rPr>
                <w:rFonts w:hint="eastAsia" w:ascii="黑体" w:hAnsi="黑体" w:eastAsia="黑体"/>
                <w:sz w:val="20"/>
              </w:rPr>
            </w:pPr>
          </w:p>
          <w:p>
            <w:pPr>
              <w:pStyle w:val="6"/>
              <w:kinsoku w:val="0"/>
              <w:overflowPunct w:val="0"/>
              <w:spacing w:beforeLines="0" w:afterLines="0"/>
              <w:rPr>
                <w:rFonts w:hint="eastAsia" w:ascii="黑体" w:hAnsi="黑体" w:eastAsia="黑体"/>
                <w:sz w:val="20"/>
              </w:rPr>
            </w:pPr>
          </w:p>
          <w:p>
            <w:pPr>
              <w:pStyle w:val="6"/>
              <w:kinsoku w:val="0"/>
              <w:overflowPunct w:val="0"/>
              <w:spacing w:beforeLines="0" w:afterLines="0"/>
              <w:rPr>
                <w:rFonts w:hint="eastAsia" w:ascii="黑体" w:hAnsi="黑体" w:eastAsia="黑体"/>
                <w:sz w:val="20"/>
              </w:rPr>
            </w:pPr>
          </w:p>
          <w:p>
            <w:pPr>
              <w:pStyle w:val="6"/>
              <w:kinsoku w:val="0"/>
              <w:overflowPunct w:val="0"/>
              <w:spacing w:beforeLines="0" w:afterLines="0"/>
              <w:rPr>
                <w:rFonts w:hint="eastAsia" w:ascii="黑体" w:hAnsi="黑体" w:eastAsia="黑体"/>
                <w:sz w:val="20"/>
              </w:rPr>
            </w:pPr>
          </w:p>
          <w:p>
            <w:pPr>
              <w:pStyle w:val="6"/>
              <w:kinsoku w:val="0"/>
              <w:overflowPunct w:val="0"/>
              <w:spacing w:beforeLines="0" w:afterLines="0"/>
              <w:rPr>
                <w:rFonts w:hint="eastAsia" w:ascii="黑体" w:hAnsi="黑体" w:eastAsia="黑体"/>
                <w:sz w:val="20"/>
              </w:rPr>
            </w:pPr>
          </w:p>
          <w:p>
            <w:pPr>
              <w:pStyle w:val="6"/>
              <w:kinsoku w:val="0"/>
              <w:overflowPunct w:val="0"/>
              <w:spacing w:beforeLines="0" w:afterLines="0"/>
              <w:rPr>
                <w:rFonts w:hint="eastAsia" w:ascii="黑体" w:hAnsi="黑体" w:eastAsia="黑体"/>
                <w:sz w:val="20"/>
              </w:rPr>
            </w:pPr>
          </w:p>
          <w:p>
            <w:pPr>
              <w:pStyle w:val="6"/>
              <w:kinsoku w:val="0"/>
              <w:overflowPunct w:val="0"/>
              <w:spacing w:beforeLines="0" w:afterLines="0"/>
              <w:rPr>
                <w:rFonts w:hint="eastAsia" w:ascii="黑体" w:hAnsi="黑体" w:eastAsia="黑体"/>
                <w:sz w:val="20"/>
              </w:rPr>
            </w:pPr>
          </w:p>
          <w:p>
            <w:pPr>
              <w:pStyle w:val="6"/>
              <w:kinsoku w:val="0"/>
              <w:overflowPunct w:val="0"/>
              <w:spacing w:beforeLines="0" w:afterLines="0"/>
              <w:rPr>
                <w:rFonts w:hint="eastAsia" w:ascii="黑体" w:hAnsi="黑体" w:eastAsia="黑体"/>
                <w:sz w:val="20"/>
              </w:rPr>
            </w:pPr>
          </w:p>
          <w:p>
            <w:pPr>
              <w:pStyle w:val="6"/>
              <w:kinsoku w:val="0"/>
              <w:overflowPunct w:val="0"/>
              <w:spacing w:beforeLines="0" w:afterLines="0"/>
              <w:rPr>
                <w:rFonts w:hint="eastAsia" w:ascii="黑体" w:hAnsi="黑体" w:eastAsia="黑体"/>
                <w:sz w:val="20"/>
              </w:rPr>
            </w:pPr>
          </w:p>
          <w:p>
            <w:pPr>
              <w:pStyle w:val="6"/>
              <w:kinsoku w:val="0"/>
              <w:overflowPunct w:val="0"/>
              <w:spacing w:beforeLines="0" w:afterLines="0"/>
              <w:rPr>
                <w:rFonts w:hint="eastAsia" w:ascii="黑体" w:hAnsi="黑体" w:eastAsia="黑体"/>
                <w:sz w:val="20"/>
              </w:rPr>
            </w:pPr>
          </w:p>
          <w:p>
            <w:pPr>
              <w:pStyle w:val="6"/>
              <w:kinsoku w:val="0"/>
              <w:overflowPunct w:val="0"/>
              <w:spacing w:beforeLines="0" w:afterLines="0"/>
              <w:rPr>
                <w:rFonts w:hint="eastAsia" w:ascii="黑体" w:hAnsi="黑体" w:eastAsia="黑体"/>
                <w:sz w:val="20"/>
              </w:rPr>
            </w:pPr>
          </w:p>
          <w:p>
            <w:pPr>
              <w:pStyle w:val="6"/>
              <w:kinsoku w:val="0"/>
              <w:overflowPunct w:val="0"/>
              <w:spacing w:beforeLines="0" w:afterLines="0"/>
              <w:rPr>
                <w:rFonts w:hint="eastAsia" w:ascii="黑体" w:hAnsi="黑体" w:eastAsia="黑体"/>
                <w:sz w:val="20"/>
              </w:rPr>
            </w:pPr>
          </w:p>
          <w:p>
            <w:pPr>
              <w:pStyle w:val="6"/>
              <w:kinsoku w:val="0"/>
              <w:overflowPunct w:val="0"/>
              <w:spacing w:beforeLines="0" w:afterLines="0"/>
              <w:rPr>
                <w:rFonts w:hint="eastAsia" w:ascii="黑体" w:hAnsi="黑体" w:eastAsia="黑体"/>
                <w:sz w:val="20"/>
              </w:rPr>
            </w:pPr>
          </w:p>
          <w:p>
            <w:pPr>
              <w:pStyle w:val="6"/>
              <w:kinsoku w:val="0"/>
              <w:overflowPunct w:val="0"/>
              <w:spacing w:beforeLines="0" w:afterLines="0"/>
              <w:rPr>
                <w:rFonts w:hint="eastAsia" w:ascii="黑体" w:hAnsi="黑体" w:eastAsia="黑体"/>
                <w:sz w:val="20"/>
              </w:rPr>
            </w:pPr>
          </w:p>
          <w:p>
            <w:pPr>
              <w:pStyle w:val="6"/>
              <w:kinsoku w:val="0"/>
              <w:overflowPunct w:val="0"/>
              <w:spacing w:before="7" w:beforeLines="0" w:afterLines="0"/>
              <w:rPr>
                <w:rFonts w:hint="eastAsia" w:ascii="黑体" w:hAnsi="黑体" w:eastAsia="黑体"/>
                <w:sz w:val="19"/>
              </w:rPr>
            </w:pPr>
          </w:p>
          <w:p>
            <w:pPr>
              <w:pStyle w:val="6"/>
              <w:kinsoku w:val="0"/>
              <w:overflowPunct w:val="0"/>
              <w:spacing w:beforeLines="0" w:afterLines="0" w:line="285" w:lineRule="auto"/>
              <w:ind w:left="46" w:right="100"/>
              <w:jc w:val="both"/>
              <w:rPr>
                <w:rFonts w:hint="default"/>
                <w:sz w:val="24"/>
              </w:rPr>
            </w:pPr>
            <w:r>
              <w:rPr>
                <w:rFonts w:hint="eastAsia" w:ascii="宋体" w:hAnsi="宋体" w:eastAsia="宋体"/>
                <w:sz w:val="20"/>
              </w:rPr>
              <w:t>三、本</w:t>
            </w:r>
            <w:r>
              <w:rPr>
                <w:rFonts w:hint="eastAsia" w:ascii="宋体" w:hAnsi="宋体" w:eastAsia="宋体"/>
                <w:w w:val="99"/>
                <w:sz w:val="20"/>
              </w:rPr>
              <w:t xml:space="preserve"> </w:t>
            </w:r>
            <w:r>
              <w:rPr>
                <w:rFonts w:hint="eastAsia" w:ascii="宋体" w:hAnsi="宋体" w:eastAsia="宋体"/>
                <w:sz w:val="20"/>
              </w:rPr>
              <w:t>年度办</w:t>
            </w:r>
            <w:r>
              <w:rPr>
                <w:rFonts w:hint="eastAsia" w:ascii="宋体" w:hAnsi="宋体" w:eastAsia="宋体"/>
                <w:w w:val="99"/>
                <w:sz w:val="20"/>
              </w:rPr>
              <w:t xml:space="preserve"> </w:t>
            </w:r>
            <w:r>
              <w:rPr>
                <w:rFonts w:hint="eastAsia" w:ascii="宋体" w:hAnsi="宋体" w:eastAsia="宋体"/>
                <w:sz w:val="20"/>
              </w:rPr>
              <w:t>理结果</w:t>
            </w:r>
          </w:p>
        </w:tc>
        <w:tc>
          <w:tcPr>
            <w:tcW w:w="4163" w:type="dxa"/>
            <w:gridSpan w:val="2"/>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57" w:lineRule="exact"/>
              <w:ind w:left="46"/>
              <w:rPr>
                <w:rFonts w:hint="default"/>
                <w:sz w:val="24"/>
              </w:rPr>
            </w:pPr>
            <w:r>
              <w:rPr>
                <w:rFonts w:hint="eastAsia" w:ascii="宋体" w:hAnsi="宋体" w:eastAsia="宋体"/>
                <w:sz w:val="20"/>
              </w:rPr>
              <w:t>（一）予以公开</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4163" w:type="dxa"/>
            <w:gridSpan w:val="2"/>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85" w:lineRule="auto"/>
              <w:ind w:left="46" w:right="145"/>
              <w:rPr>
                <w:rFonts w:hint="default"/>
                <w:sz w:val="24"/>
              </w:rPr>
            </w:pPr>
            <w:r>
              <w:rPr>
                <w:rFonts w:hint="eastAsia" w:ascii="宋体" w:hAnsi="宋体" w:eastAsia="宋体"/>
                <w:spacing w:val="-2"/>
                <w:sz w:val="20"/>
              </w:rPr>
              <w:t>（二）部分公开</w:t>
            </w:r>
            <w:r>
              <w:rPr>
                <w:rFonts w:hint="eastAsia" w:ascii="楷体" w:hAnsi="楷体" w:eastAsia="楷体"/>
                <w:spacing w:val="-2"/>
                <w:sz w:val="20"/>
              </w:rPr>
              <w:t>（区分处理的，只计这一情形</w:t>
            </w:r>
            <w:r>
              <w:rPr>
                <w:rFonts w:hint="eastAsia" w:ascii="楷体" w:hAnsi="楷体" w:eastAsia="楷体"/>
                <w:w w:val="99"/>
                <w:sz w:val="20"/>
              </w:rPr>
              <w:t xml:space="preserve"> </w:t>
            </w:r>
            <w:r>
              <w:rPr>
                <w:rFonts w:hint="eastAsia" w:ascii="楷体" w:hAnsi="楷体" w:eastAsia="楷体"/>
                <w:sz w:val="20"/>
              </w:rPr>
              <w:t>不计其他情形）</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restart"/>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center"/>
          </w:tcPr>
          <w:p>
            <w:pPr>
              <w:widowControl/>
              <w:jc w:val="left"/>
              <w:rPr>
                <w:rFonts w:hint="default"/>
                <w:sz w:val="24"/>
              </w:rPr>
            </w:pPr>
            <w:r>
              <w:rPr>
                <w:rFonts w:hint="eastAsia" w:ascii="宋体" w:hAnsi="宋体" w:cs="宋体"/>
                <w:kern w:val="0"/>
                <w:sz w:val="20"/>
                <w:szCs w:val="20"/>
                <w:lang w:bidi="ar"/>
              </w:rPr>
              <w:t>（三）不予公开</w:t>
            </w: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58" w:lineRule="exact"/>
              <w:ind w:left="46"/>
              <w:rPr>
                <w:rFonts w:hint="default"/>
                <w:sz w:val="24"/>
              </w:rPr>
            </w:pPr>
            <w:r>
              <w:rPr>
                <w:rFonts w:hint="eastAsia" w:ascii="宋体" w:hAnsi="宋体" w:eastAsia="宋体"/>
                <w:sz w:val="20"/>
              </w:rPr>
              <w:t>1.属于国家秘密</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spacing w:beforeLines="0" w:afterLines="0"/>
              <w:rPr>
                <w:rFonts w:hint="default"/>
                <w:sz w:val="24"/>
              </w:rPr>
            </w:pP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57" w:lineRule="exact"/>
              <w:ind w:left="46"/>
              <w:rPr>
                <w:rFonts w:hint="default"/>
                <w:sz w:val="24"/>
              </w:rPr>
            </w:pPr>
            <w:r>
              <w:rPr>
                <w:rFonts w:hint="eastAsia" w:ascii="宋体" w:hAnsi="宋体" w:eastAsia="宋体"/>
                <w:sz w:val="20"/>
              </w:rPr>
              <w:t>2.其他法律行政法规禁止公开</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spacing w:beforeLines="0" w:afterLines="0"/>
              <w:rPr>
                <w:rFonts w:hint="default"/>
                <w:sz w:val="24"/>
              </w:rPr>
            </w:pP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56" w:lineRule="exact"/>
              <w:ind w:left="46"/>
              <w:rPr>
                <w:rFonts w:hint="default"/>
                <w:sz w:val="24"/>
              </w:rPr>
            </w:pPr>
            <w:r>
              <w:rPr>
                <w:rFonts w:hint="eastAsia" w:ascii="宋体" w:hAnsi="宋体" w:eastAsia="宋体"/>
                <w:sz w:val="20"/>
              </w:rPr>
              <w:t>3.危及“三安全一稳定”</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spacing w:beforeLines="0" w:afterLines="0"/>
              <w:rPr>
                <w:rFonts w:hint="default"/>
                <w:sz w:val="24"/>
              </w:rPr>
            </w:pP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58" w:lineRule="exact"/>
              <w:ind w:left="46"/>
              <w:rPr>
                <w:rFonts w:hint="default"/>
                <w:sz w:val="24"/>
              </w:rPr>
            </w:pPr>
            <w:r>
              <w:rPr>
                <w:rFonts w:hint="eastAsia" w:ascii="宋体" w:hAnsi="宋体" w:eastAsia="宋体"/>
                <w:sz w:val="20"/>
              </w:rPr>
              <w:t>4.保护第三方合法权益</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spacing w:beforeLines="0" w:afterLines="0"/>
              <w:rPr>
                <w:rFonts w:hint="default"/>
                <w:sz w:val="24"/>
              </w:rPr>
            </w:pP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57" w:lineRule="exact"/>
              <w:ind w:left="46"/>
              <w:rPr>
                <w:rFonts w:hint="default"/>
                <w:sz w:val="24"/>
              </w:rPr>
            </w:pPr>
            <w:r>
              <w:rPr>
                <w:rFonts w:hint="eastAsia" w:ascii="宋体" w:hAnsi="宋体" w:eastAsia="宋体"/>
                <w:sz w:val="20"/>
              </w:rPr>
              <w:t>5.属于三类内部事务信息</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spacing w:beforeLines="0" w:afterLines="0"/>
              <w:rPr>
                <w:rFonts w:hint="default"/>
                <w:sz w:val="24"/>
              </w:rPr>
            </w:pP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56" w:lineRule="exact"/>
              <w:ind w:left="46"/>
              <w:rPr>
                <w:rFonts w:hint="default"/>
                <w:sz w:val="24"/>
              </w:rPr>
            </w:pPr>
            <w:r>
              <w:rPr>
                <w:rFonts w:hint="eastAsia" w:ascii="宋体" w:hAnsi="宋体" w:eastAsia="宋体"/>
                <w:sz w:val="20"/>
              </w:rPr>
              <w:t>6.属于四类过程性信息</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spacing w:beforeLines="0" w:afterLines="0"/>
              <w:rPr>
                <w:rFonts w:hint="default"/>
                <w:sz w:val="24"/>
              </w:rPr>
            </w:pP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58" w:lineRule="exact"/>
              <w:ind w:left="46"/>
              <w:rPr>
                <w:rFonts w:hint="default"/>
                <w:sz w:val="24"/>
              </w:rPr>
            </w:pPr>
            <w:r>
              <w:rPr>
                <w:rFonts w:hint="eastAsia" w:ascii="宋体" w:hAnsi="宋体" w:eastAsia="宋体"/>
                <w:sz w:val="20"/>
              </w:rPr>
              <w:t>7.属于行政执法案卷</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spacing w:beforeLines="0" w:afterLines="0"/>
              <w:rPr>
                <w:rFonts w:hint="default"/>
                <w:sz w:val="24"/>
              </w:rPr>
            </w:pP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57" w:lineRule="exact"/>
              <w:ind w:left="46"/>
              <w:rPr>
                <w:rFonts w:hint="default"/>
                <w:sz w:val="24"/>
              </w:rPr>
            </w:pPr>
            <w:r>
              <w:rPr>
                <w:rFonts w:hint="eastAsia" w:ascii="宋体" w:hAnsi="宋体" w:eastAsia="宋体"/>
                <w:sz w:val="20"/>
              </w:rPr>
              <w:t>8.属于行政查询事项</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restart"/>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center"/>
          </w:tcPr>
          <w:p>
            <w:pPr>
              <w:widowControl/>
              <w:jc w:val="left"/>
              <w:rPr>
                <w:rFonts w:hint="default"/>
                <w:sz w:val="24"/>
              </w:rPr>
            </w:pPr>
            <w:r>
              <w:rPr>
                <w:rFonts w:hint="eastAsia" w:ascii="宋体" w:hAnsi="宋体" w:cs="宋体"/>
                <w:kern w:val="0"/>
                <w:sz w:val="20"/>
                <w:szCs w:val="20"/>
                <w:lang w:bidi="ar"/>
              </w:rPr>
              <w:t>（四）无法提供</w:t>
            </w: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56" w:lineRule="exact"/>
              <w:ind w:left="46"/>
              <w:rPr>
                <w:rFonts w:hint="default"/>
                <w:sz w:val="24"/>
              </w:rPr>
            </w:pPr>
            <w:r>
              <w:rPr>
                <w:rFonts w:hint="eastAsia" w:ascii="宋体" w:hAnsi="宋体" w:eastAsia="宋体"/>
                <w:sz w:val="20"/>
              </w:rPr>
              <w:t>1.本机关不掌握相关政府信息</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spacing w:beforeLines="0" w:afterLines="0"/>
              <w:rPr>
                <w:rFonts w:hint="default"/>
                <w:sz w:val="24"/>
              </w:rPr>
            </w:pP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58" w:lineRule="exact"/>
              <w:ind w:left="46"/>
              <w:rPr>
                <w:rFonts w:hint="default"/>
                <w:sz w:val="24"/>
              </w:rPr>
            </w:pPr>
            <w:r>
              <w:rPr>
                <w:rFonts w:hint="eastAsia" w:ascii="宋体" w:hAnsi="宋体" w:eastAsia="宋体"/>
                <w:sz w:val="20"/>
              </w:rPr>
              <w:t>2.没有现成信息需要另行制作</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spacing w:beforeLines="0" w:afterLines="0"/>
              <w:rPr>
                <w:rFonts w:hint="default"/>
                <w:sz w:val="24"/>
              </w:rPr>
            </w:pP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57" w:lineRule="exact"/>
              <w:ind w:left="46"/>
              <w:rPr>
                <w:rFonts w:hint="default"/>
                <w:sz w:val="24"/>
              </w:rPr>
            </w:pPr>
            <w:r>
              <w:rPr>
                <w:rFonts w:hint="eastAsia" w:ascii="宋体" w:hAnsi="宋体" w:eastAsia="宋体"/>
                <w:sz w:val="20"/>
              </w:rPr>
              <w:t>3.补正后申请内容仍不明确</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restart"/>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center"/>
          </w:tcPr>
          <w:p>
            <w:pPr>
              <w:widowControl/>
              <w:jc w:val="left"/>
              <w:rPr>
                <w:rFonts w:hint="default"/>
                <w:sz w:val="24"/>
              </w:rPr>
            </w:pPr>
            <w:r>
              <w:rPr>
                <w:rFonts w:hint="eastAsia" w:ascii="宋体" w:hAnsi="宋体" w:cs="宋体"/>
                <w:kern w:val="0"/>
                <w:sz w:val="20"/>
                <w:szCs w:val="20"/>
                <w:lang w:bidi="ar"/>
              </w:rPr>
              <w:t>（五）不予处理</w:t>
            </w: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56" w:lineRule="exact"/>
              <w:ind w:left="46"/>
              <w:rPr>
                <w:rFonts w:hint="default"/>
                <w:sz w:val="24"/>
              </w:rPr>
            </w:pPr>
            <w:r>
              <w:rPr>
                <w:rFonts w:hint="eastAsia" w:ascii="宋体" w:hAnsi="宋体" w:eastAsia="宋体"/>
                <w:sz w:val="20"/>
              </w:rPr>
              <w:t>1.信访举报投诉类申请</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spacing w:beforeLines="0" w:afterLines="0"/>
              <w:rPr>
                <w:rFonts w:hint="default"/>
                <w:sz w:val="24"/>
              </w:rPr>
            </w:pP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58" w:lineRule="exact"/>
              <w:ind w:left="46"/>
              <w:rPr>
                <w:rFonts w:hint="default"/>
                <w:sz w:val="24"/>
              </w:rPr>
            </w:pPr>
            <w:r>
              <w:rPr>
                <w:rFonts w:hint="eastAsia" w:ascii="宋体" w:hAnsi="宋体" w:eastAsia="宋体"/>
                <w:sz w:val="20"/>
              </w:rPr>
              <w:t>2.重复申请</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spacing w:beforeLines="0" w:afterLines="0"/>
              <w:rPr>
                <w:rFonts w:hint="default"/>
                <w:sz w:val="24"/>
              </w:rPr>
            </w:pP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57" w:lineRule="exact"/>
              <w:ind w:left="46"/>
              <w:rPr>
                <w:rFonts w:hint="default"/>
                <w:sz w:val="24"/>
              </w:rPr>
            </w:pPr>
            <w:r>
              <w:rPr>
                <w:rFonts w:hint="eastAsia" w:ascii="宋体" w:hAnsi="宋体" w:eastAsia="宋体"/>
                <w:sz w:val="20"/>
              </w:rPr>
              <w:t>3.要求提供公开出版物</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spacing w:beforeLines="0" w:afterLines="0"/>
              <w:rPr>
                <w:rFonts w:hint="default"/>
                <w:sz w:val="24"/>
              </w:rPr>
            </w:pP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56" w:lineRule="exact"/>
              <w:ind w:left="46"/>
              <w:rPr>
                <w:rFonts w:hint="default"/>
                <w:sz w:val="24"/>
              </w:rPr>
            </w:pPr>
            <w:r>
              <w:rPr>
                <w:rFonts w:hint="eastAsia" w:ascii="宋体" w:hAnsi="宋体" w:eastAsia="宋体"/>
                <w:sz w:val="20"/>
              </w:rPr>
              <w:t>4.无正当理由大量反复申请</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spacing w:beforeLines="0" w:afterLines="0"/>
              <w:rPr>
                <w:rFonts w:hint="default"/>
                <w:sz w:val="24"/>
              </w:rPr>
            </w:pP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73" w:beforeLines="0" w:afterLines="0" w:line="285" w:lineRule="auto"/>
              <w:ind w:left="46" w:right="49"/>
              <w:rPr>
                <w:rFonts w:hint="default"/>
                <w:sz w:val="24"/>
              </w:rPr>
            </w:pPr>
            <w:r>
              <w:rPr>
                <w:rFonts w:hint="eastAsia" w:ascii="宋体" w:hAnsi="宋体" w:eastAsia="宋体"/>
                <w:spacing w:val="6"/>
                <w:sz w:val="20"/>
              </w:rPr>
              <w:t>5.要求行政机关确认或重新出具已</w:t>
            </w:r>
            <w:r>
              <w:rPr>
                <w:rFonts w:hint="eastAsia" w:ascii="宋体" w:hAnsi="宋体" w:eastAsia="宋体"/>
                <w:w w:val="99"/>
                <w:sz w:val="20"/>
              </w:rPr>
              <w:t xml:space="preserve"> </w:t>
            </w:r>
            <w:r>
              <w:rPr>
                <w:rFonts w:hint="eastAsia" w:ascii="宋体" w:hAnsi="宋体" w:eastAsia="宋体"/>
                <w:sz w:val="20"/>
              </w:rPr>
              <w:t>获取信息</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restart"/>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rPr>
                <w:rFonts w:hint="eastAsia" w:ascii="黑体" w:hAnsi="黑体" w:eastAsia="黑体"/>
                <w:sz w:val="20"/>
              </w:rPr>
            </w:pPr>
          </w:p>
          <w:p>
            <w:pPr>
              <w:pStyle w:val="6"/>
              <w:kinsoku w:val="0"/>
              <w:overflowPunct w:val="0"/>
              <w:spacing w:beforeLines="0" w:afterLines="0"/>
              <w:rPr>
                <w:rFonts w:hint="eastAsia" w:ascii="黑体" w:hAnsi="黑体" w:eastAsia="黑体"/>
                <w:sz w:val="20"/>
              </w:rPr>
            </w:pPr>
          </w:p>
          <w:p>
            <w:pPr>
              <w:pStyle w:val="6"/>
              <w:kinsoku w:val="0"/>
              <w:overflowPunct w:val="0"/>
              <w:spacing w:before="10" w:beforeLines="0" w:afterLines="0"/>
              <w:rPr>
                <w:rFonts w:hint="eastAsia" w:ascii="黑体" w:hAnsi="黑体" w:eastAsia="黑体"/>
                <w:sz w:val="20"/>
              </w:rPr>
            </w:pPr>
          </w:p>
          <w:p>
            <w:pPr>
              <w:pStyle w:val="6"/>
              <w:kinsoku w:val="0"/>
              <w:overflowPunct w:val="0"/>
              <w:spacing w:beforeLines="0" w:afterLines="0" w:line="285" w:lineRule="auto"/>
              <w:ind w:left="46" w:right="76"/>
              <w:rPr>
                <w:rFonts w:hint="default"/>
                <w:sz w:val="24"/>
              </w:rPr>
            </w:pPr>
            <w:r>
              <w:rPr>
                <w:rFonts w:hint="eastAsia" w:ascii="宋体" w:hAnsi="宋体" w:cs="宋体"/>
                <w:kern w:val="0"/>
                <w:sz w:val="20"/>
                <w:szCs w:val="20"/>
                <w:lang w:bidi="ar"/>
              </w:rPr>
              <w:t>（六）其他处理</w:t>
            </w: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85" w:lineRule="auto"/>
              <w:ind w:left="46" w:right="46"/>
              <w:jc w:val="both"/>
              <w:rPr>
                <w:rFonts w:hint="default"/>
                <w:sz w:val="24"/>
              </w:rPr>
            </w:pPr>
            <w:r>
              <w:rPr>
                <w:rFonts w:hint="eastAsia" w:ascii="宋体" w:hAnsi="宋体" w:eastAsia="宋体"/>
                <w:spacing w:val="-5"/>
                <w:sz w:val="20"/>
              </w:rPr>
              <w:t>1.申请人无正当理由逾期不补正、行</w:t>
            </w:r>
            <w:r>
              <w:rPr>
                <w:rFonts w:hint="eastAsia" w:ascii="宋体" w:hAnsi="宋体" w:eastAsia="宋体"/>
                <w:w w:val="99"/>
                <w:sz w:val="20"/>
              </w:rPr>
              <w:t xml:space="preserve"> </w:t>
            </w:r>
            <w:r>
              <w:rPr>
                <w:rFonts w:hint="eastAsia" w:ascii="宋体" w:hAnsi="宋体" w:eastAsia="宋体"/>
                <w:spacing w:val="7"/>
                <w:sz w:val="20"/>
              </w:rPr>
              <w:t>政机关不再处理其政府信息公开申</w:t>
            </w:r>
            <w:r>
              <w:rPr>
                <w:rFonts w:hint="eastAsia" w:ascii="宋体" w:hAnsi="宋体" w:eastAsia="宋体"/>
                <w:sz w:val="20"/>
              </w:rPr>
              <w:t>请</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spacing w:beforeLines="0" w:afterLines="0"/>
              <w:rPr>
                <w:rFonts w:hint="default"/>
                <w:sz w:val="24"/>
              </w:rPr>
            </w:pP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85" w:lineRule="auto"/>
              <w:ind w:left="46" w:right="46"/>
              <w:jc w:val="both"/>
              <w:rPr>
                <w:rFonts w:hint="default"/>
                <w:sz w:val="24"/>
              </w:rPr>
            </w:pPr>
            <w:r>
              <w:rPr>
                <w:rFonts w:hint="eastAsia" w:ascii="宋体" w:hAnsi="宋体" w:eastAsia="宋体"/>
                <w:spacing w:val="6"/>
                <w:sz w:val="20"/>
              </w:rPr>
              <w:t>2.申请人逾期未按收费通知要求缴</w:t>
            </w:r>
            <w:r>
              <w:rPr>
                <w:rFonts w:hint="eastAsia" w:ascii="宋体" w:hAnsi="宋体" w:eastAsia="宋体"/>
                <w:w w:val="99"/>
                <w:sz w:val="20"/>
              </w:rPr>
              <w:t xml:space="preserve"> </w:t>
            </w:r>
            <w:r>
              <w:rPr>
                <w:rFonts w:hint="eastAsia" w:ascii="宋体" w:hAnsi="宋体" w:eastAsia="宋体"/>
                <w:spacing w:val="-6"/>
                <w:sz w:val="20"/>
              </w:rPr>
              <w:t>纳费用、行政机关不再处理其政府信</w:t>
            </w:r>
            <w:r>
              <w:rPr>
                <w:rFonts w:hint="eastAsia" w:ascii="宋体" w:hAnsi="宋体" w:eastAsia="宋体"/>
                <w:sz w:val="20"/>
              </w:rPr>
              <w:t>息公开申请</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943"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spacing w:beforeLines="0" w:afterLines="0"/>
              <w:rPr>
                <w:rFonts w:hint="default"/>
                <w:sz w:val="24"/>
              </w:rPr>
            </w:pPr>
          </w:p>
        </w:tc>
        <w:tc>
          <w:tcPr>
            <w:tcW w:w="3220" w:type="dxa"/>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57" w:lineRule="exact"/>
              <w:ind w:left="46"/>
              <w:rPr>
                <w:rFonts w:hint="default"/>
                <w:sz w:val="24"/>
              </w:rPr>
            </w:pPr>
            <w:r>
              <w:rPr>
                <w:rFonts w:hint="eastAsia" w:ascii="宋体" w:hAnsi="宋体" w:eastAsia="宋体"/>
                <w:sz w:val="20"/>
              </w:rPr>
              <w:t>3.其他</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768"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spacing w:beforeLines="0" w:afterLines="0"/>
              <w:rPr>
                <w:rFonts w:hint="default"/>
                <w:sz w:val="24"/>
              </w:rPr>
            </w:pPr>
          </w:p>
        </w:tc>
        <w:tc>
          <w:tcPr>
            <w:tcW w:w="4163" w:type="dxa"/>
            <w:gridSpan w:val="2"/>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Lines="0" w:afterLines="0" w:line="256" w:lineRule="exact"/>
              <w:ind w:left="46"/>
              <w:rPr>
                <w:rFonts w:hint="default"/>
                <w:sz w:val="24"/>
              </w:rPr>
            </w:pPr>
            <w:r>
              <w:rPr>
                <w:rFonts w:hint="eastAsia" w:ascii="宋体" w:hAnsi="宋体" w:eastAsia="宋体"/>
                <w:sz w:val="20"/>
              </w:rPr>
              <w:t>（七）总计</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1</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exact"/>
        </w:trPr>
        <w:tc>
          <w:tcPr>
            <w:tcW w:w="4931" w:type="dxa"/>
            <w:gridSpan w:val="3"/>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pStyle w:val="6"/>
              <w:kinsoku w:val="0"/>
              <w:overflowPunct w:val="0"/>
              <w:spacing w:beforeLines="0" w:afterLines="0" w:line="257" w:lineRule="exact"/>
              <w:ind w:left="46"/>
              <w:rPr>
                <w:rFonts w:hint="default"/>
                <w:sz w:val="24"/>
              </w:rPr>
            </w:pPr>
            <w:r>
              <w:rPr>
                <w:rFonts w:hint="eastAsia" w:ascii="宋体" w:hAnsi="宋体" w:eastAsia="宋体"/>
                <w:sz w:val="20"/>
              </w:rPr>
              <w:t>四、结转下年度继续办理</w:t>
            </w:r>
          </w:p>
        </w:tc>
        <w:tc>
          <w:tcPr>
            <w:tcW w:w="688" w:type="dxa"/>
            <w:tcBorders>
              <w:top w:val="single" w:color="000000" w:sz="6" w:space="0"/>
              <w:left w:val="single" w:color="000000" w:sz="6" w:space="0"/>
              <w:bottom w:val="single" w:color="000000" w:sz="4" w:space="0"/>
              <w:right w:val="single" w:color="000000" w:sz="4" w:space="0"/>
              <w:tl2br w:val="nil"/>
              <w:tr2bl w:val="nil"/>
            </w:tcBorders>
            <w:noWrap w:val="0"/>
            <w:vAlign w:val="center"/>
          </w:tcPr>
          <w:p>
            <w:pPr>
              <w:pStyle w:val="6"/>
              <w:kinsoku w:val="0"/>
              <w:overflowPunct w:val="0"/>
              <w:spacing w:beforeLines="0" w:afterLines="0" w:line="256" w:lineRule="exact"/>
              <w:ind w:left="-167" w:leftChars="0"/>
              <w:jc w:val="center"/>
              <w:rPr>
                <w:rFonts w:hint="default" w:ascii="Times New Roman" w:hAnsi="Times New Roman" w:eastAsia="仿宋_GB2312" w:cs="Times New Roman"/>
                <w:sz w:val="21"/>
                <w:szCs w:val="21"/>
                <w:lang w:val="en-US" w:eastAsia="zh-CN"/>
              </w:rPr>
            </w:pPr>
            <w:r>
              <w:rPr>
                <w:rFonts w:hint="eastAsia" w:eastAsia="仿宋_GB2312" w:cs="Times New Roman"/>
                <w:w w:val="99"/>
                <w:sz w:val="21"/>
                <w:szCs w:val="21"/>
                <w:lang w:val="en-US" w:eastAsia="zh-CN"/>
              </w:rPr>
              <w:t xml:space="preserve"> </w:t>
            </w:r>
            <w:r>
              <w:rPr>
                <w:rFonts w:hint="default" w:ascii="Times New Roman" w:hAnsi="Times New Roman" w:eastAsia="仿宋_GB2312" w:cs="Times New Roman"/>
                <w:w w:val="99"/>
                <w:sz w:val="21"/>
                <w:szCs w:val="21"/>
                <w:lang w:val="en-US" w:eastAsia="zh-CN"/>
              </w:rPr>
              <w:t>0</w:t>
            </w:r>
          </w:p>
        </w:tc>
        <w:tc>
          <w:tcPr>
            <w:tcW w:w="688" w:type="dxa"/>
            <w:tcBorders>
              <w:top w:val="single" w:color="000000" w:sz="6"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8" w:type="dxa"/>
            <w:tcBorders>
              <w:top w:val="single" w:color="000000" w:sz="6"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89" w:type="dxa"/>
            <w:tcBorders>
              <w:top w:val="single" w:color="000000" w:sz="6"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bl>
    <w:p>
      <w:pPr>
        <w:pStyle w:val="2"/>
        <w:ind w:left="0" w:leftChars="0" w:firstLine="0" w:firstLineChars="0"/>
        <w:rPr>
          <w:rFonts w:hint="eastAsia"/>
          <w:sz w:val="32"/>
        </w:rPr>
      </w:pPr>
    </w:p>
    <w:p>
      <w:pPr>
        <w:pStyle w:val="2"/>
        <w:ind w:left="0" w:leftChars="0" w:firstLine="640" w:firstLineChars="200"/>
      </w:pPr>
      <w:r>
        <w:rPr>
          <w:rFonts w:hint="eastAsia"/>
          <w:sz w:val="32"/>
        </w:rPr>
        <w:t>四、政府信息公开行政复议、行政诉讼情况</w:t>
      </w:r>
    </w:p>
    <w:tbl>
      <w:tblPr>
        <w:tblStyle w:val="4"/>
        <w:tblpPr w:leftFromText="180" w:rightFromText="180" w:vertAnchor="text" w:horzAnchor="page" w:tblpX="1271" w:tblpY="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3245" w:type="dxa"/>
            <w:gridSpan w:val="5"/>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pStyle w:val="6"/>
              <w:kinsoku w:val="0"/>
              <w:overflowPunct w:val="0"/>
              <w:spacing w:before="112" w:beforeLines="0" w:afterLines="0"/>
              <w:jc w:val="center"/>
              <w:rPr>
                <w:rFonts w:hint="default"/>
                <w:sz w:val="24"/>
              </w:rPr>
            </w:pPr>
            <w:r>
              <w:rPr>
                <w:rFonts w:hint="eastAsia" w:ascii="宋体" w:hAnsi="宋体" w:eastAsia="宋体"/>
                <w:sz w:val="20"/>
              </w:rPr>
              <w:t>行政复议</w:t>
            </w:r>
          </w:p>
        </w:tc>
        <w:tc>
          <w:tcPr>
            <w:tcW w:w="6503" w:type="dxa"/>
            <w:gridSpan w:val="10"/>
            <w:tcBorders>
              <w:top w:val="single" w:color="000000" w:sz="6" w:space="0"/>
              <w:left w:val="single" w:color="000000" w:sz="6" w:space="0"/>
              <w:bottom w:val="single" w:color="000000" w:sz="6" w:space="0"/>
              <w:right w:val="single" w:color="000000" w:sz="6" w:space="0"/>
              <w:tl2br w:val="nil"/>
              <w:tr2bl w:val="nil"/>
            </w:tcBorders>
            <w:shd w:val="clear" w:color="auto" w:fill="BCD6ED"/>
            <w:noWrap w:val="0"/>
            <w:vAlign w:val="top"/>
          </w:tcPr>
          <w:p>
            <w:pPr>
              <w:pStyle w:val="6"/>
              <w:kinsoku w:val="0"/>
              <w:overflowPunct w:val="0"/>
              <w:spacing w:before="112" w:beforeLines="0" w:afterLines="0"/>
              <w:jc w:val="center"/>
              <w:rPr>
                <w:rFonts w:hint="default"/>
                <w:sz w:val="24"/>
              </w:rPr>
            </w:pPr>
            <w:r>
              <w:rPr>
                <w:rFonts w:hint="eastAsia" w:ascii="宋体" w:hAnsi="宋体" w:eastAsia="宋体"/>
                <w:sz w:val="2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exact"/>
        </w:trPr>
        <w:tc>
          <w:tcPr>
            <w:tcW w:w="649" w:type="dxa"/>
            <w:vMerge w:val="restart"/>
            <w:tcBorders>
              <w:top w:val="single" w:color="000000" w:sz="6" w:space="0"/>
              <w:left w:val="single" w:color="000000" w:sz="6" w:space="0"/>
              <w:bottom w:val="single" w:color="000000" w:sz="6" w:space="0"/>
              <w:right w:val="single" w:color="000000" w:sz="6" w:space="0"/>
              <w:tl2br w:val="nil"/>
              <w:tr2bl w:val="nil"/>
            </w:tcBorders>
            <w:shd w:val="clear" w:color="auto" w:fill="auto"/>
            <w:noWrap w:val="0"/>
            <w:vAlign w:val="center"/>
          </w:tcPr>
          <w:p>
            <w:pPr>
              <w:widowControl/>
              <w:jc w:val="center"/>
              <w:rPr>
                <w:rFonts w:hint="default"/>
                <w:sz w:val="24"/>
              </w:rPr>
            </w:pPr>
            <w:r>
              <w:rPr>
                <w:rFonts w:hint="eastAsia" w:ascii="宋体" w:hAnsi="宋体" w:cs="宋体"/>
                <w:kern w:val="0"/>
                <w:sz w:val="20"/>
                <w:szCs w:val="20"/>
                <w:lang w:bidi="ar"/>
              </w:rPr>
              <w:t>结果维持</w:t>
            </w:r>
          </w:p>
        </w:tc>
        <w:tc>
          <w:tcPr>
            <w:tcW w:w="649" w:type="dxa"/>
            <w:vMerge w:val="restart"/>
            <w:tcBorders>
              <w:top w:val="single" w:color="000000" w:sz="6" w:space="0"/>
              <w:left w:val="single" w:color="000000" w:sz="6" w:space="0"/>
              <w:bottom w:val="single" w:color="000000" w:sz="6" w:space="0"/>
              <w:right w:val="single" w:color="000000" w:sz="6" w:space="0"/>
              <w:tl2br w:val="nil"/>
              <w:tr2bl w:val="nil"/>
            </w:tcBorders>
            <w:shd w:val="clear" w:color="auto" w:fill="auto"/>
            <w:noWrap w:val="0"/>
            <w:vAlign w:val="center"/>
          </w:tcPr>
          <w:p>
            <w:pPr>
              <w:widowControl/>
              <w:jc w:val="center"/>
              <w:rPr>
                <w:rFonts w:hint="default"/>
                <w:sz w:val="24"/>
              </w:rP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000000" w:sz="6" w:space="0"/>
              <w:left w:val="single" w:color="000000" w:sz="6" w:space="0"/>
              <w:bottom w:val="single" w:color="000000" w:sz="6" w:space="0"/>
              <w:right w:val="single" w:color="000000" w:sz="6" w:space="0"/>
              <w:tl2br w:val="nil"/>
              <w:tr2bl w:val="nil"/>
            </w:tcBorders>
            <w:shd w:val="clear" w:color="auto" w:fill="auto"/>
            <w:noWrap w:val="0"/>
            <w:vAlign w:val="center"/>
          </w:tcPr>
          <w:p>
            <w:pPr>
              <w:widowControl/>
              <w:jc w:val="center"/>
              <w:rPr>
                <w:rFonts w:hint="default"/>
                <w:sz w:val="24"/>
              </w:rP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000000" w:sz="6" w:space="0"/>
              <w:left w:val="single" w:color="000000" w:sz="6" w:space="0"/>
              <w:bottom w:val="single" w:color="000000" w:sz="6" w:space="0"/>
              <w:right w:val="single" w:color="000000" w:sz="6" w:space="0"/>
              <w:tl2br w:val="nil"/>
              <w:tr2bl w:val="nil"/>
            </w:tcBorders>
            <w:shd w:val="clear" w:color="auto" w:fill="auto"/>
            <w:noWrap w:val="0"/>
            <w:vAlign w:val="center"/>
          </w:tcPr>
          <w:p>
            <w:pPr>
              <w:widowControl/>
              <w:jc w:val="center"/>
              <w:rPr>
                <w:rFonts w:hint="default"/>
                <w:sz w:val="24"/>
              </w:rP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000000" w:sz="6" w:space="0"/>
              <w:left w:val="single" w:color="000000" w:sz="6" w:space="0"/>
              <w:bottom w:val="single" w:color="000000" w:sz="6" w:space="0"/>
              <w:right w:val="single" w:color="000000" w:sz="6" w:space="0"/>
              <w:tl2br w:val="nil"/>
              <w:tr2bl w:val="nil"/>
            </w:tcBorders>
            <w:shd w:val="clear" w:color="auto" w:fill="auto"/>
            <w:noWrap w:val="0"/>
            <w:vAlign w:val="center"/>
          </w:tcPr>
          <w:p>
            <w:pPr>
              <w:widowControl/>
              <w:jc w:val="center"/>
              <w:rPr>
                <w:rFonts w:hint="default"/>
                <w:sz w:val="24"/>
              </w:rPr>
            </w:pPr>
            <w:r>
              <w:rPr>
                <w:rFonts w:hint="eastAsia" w:ascii="宋体" w:hAnsi="宋体" w:cs="宋体"/>
                <w:kern w:val="0"/>
                <w:sz w:val="20"/>
                <w:szCs w:val="20"/>
                <w:lang w:bidi="ar"/>
              </w:rPr>
              <w:t>总计</w:t>
            </w:r>
          </w:p>
        </w:tc>
        <w:tc>
          <w:tcPr>
            <w:tcW w:w="3248" w:type="dxa"/>
            <w:gridSpan w:val="5"/>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131" w:beforeLines="0" w:afterLines="0"/>
              <w:ind w:left="814"/>
              <w:rPr>
                <w:rFonts w:hint="default"/>
                <w:sz w:val="24"/>
              </w:rPr>
            </w:pPr>
            <w:r>
              <w:rPr>
                <w:rFonts w:hint="eastAsia" w:ascii="宋体" w:hAnsi="宋体" w:eastAsia="宋体"/>
                <w:sz w:val="20"/>
              </w:rPr>
              <w:t>未经复议直接起诉</w:t>
            </w:r>
          </w:p>
        </w:tc>
        <w:tc>
          <w:tcPr>
            <w:tcW w:w="3255" w:type="dxa"/>
            <w:gridSpan w:val="5"/>
            <w:tcBorders>
              <w:top w:val="single" w:color="000000" w:sz="6" w:space="0"/>
              <w:left w:val="single" w:color="000000" w:sz="6" w:space="0"/>
              <w:bottom w:val="single" w:color="000000" w:sz="6" w:space="0"/>
              <w:right w:val="single" w:color="000000" w:sz="6" w:space="0"/>
              <w:tl2br w:val="nil"/>
              <w:tr2bl w:val="nil"/>
            </w:tcBorders>
            <w:shd w:val="clear" w:color="auto" w:fill="DDEBF7"/>
            <w:noWrap w:val="0"/>
            <w:vAlign w:val="top"/>
          </w:tcPr>
          <w:p>
            <w:pPr>
              <w:pStyle w:val="6"/>
              <w:kinsoku w:val="0"/>
              <w:overflowPunct w:val="0"/>
              <w:spacing w:before="131" w:beforeLines="0" w:afterLines="0"/>
              <w:jc w:val="center"/>
              <w:rPr>
                <w:rFonts w:hint="default"/>
                <w:sz w:val="24"/>
              </w:rPr>
            </w:pPr>
            <w:r>
              <w:rPr>
                <w:rFonts w:hint="eastAsia" w:ascii="宋体" w:hAnsi="宋体" w:eastAsia="宋体"/>
                <w:sz w:val="2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exact"/>
        </w:trPr>
        <w:tc>
          <w:tcPr>
            <w:tcW w:w="649"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6"/>
              <w:kinsoku w:val="0"/>
              <w:overflowPunct w:val="0"/>
              <w:spacing w:before="131" w:beforeLines="0" w:afterLines="0"/>
              <w:jc w:val="center"/>
              <w:rPr>
                <w:rFonts w:hint="default"/>
                <w:sz w:val="24"/>
              </w:rPr>
            </w:pPr>
          </w:p>
        </w:tc>
        <w:tc>
          <w:tcPr>
            <w:tcW w:w="649"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6"/>
              <w:kinsoku w:val="0"/>
              <w:overflowPunct w:val="0"/>
              <w:spacing w:before="131" w:beforeLines="0" w:afterLines="0"/>
              <w:jc w:val="center"/>
              <w:rPr>
                <w:rFonts w:hint="default"/>
                <w:sz w:val="24"/>
              </w:rPr>
            </w:pPr>
          </w:p>
        </w:tc>
        <w:tc>
          <w:tcPr>
            <w:tcW w:w="649"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6"/>
              <w:kinsoku w:val="0"/>
              <w:overflowPunct w:val="0"/>
              <w:spacing w:before="131" w:beforeLines="0" w:afterLines="0"/>
              <w:jc w:val="center"/>
              <w:rPr>
                <w:rFonts w:hint="default"/>
                <w:sz w:val="24"/>
              </w:rPr>
            </w:pPr>
          </w:p>
        </w:tc>
        <w:tc>
          <w:tcPr>
            <w:tcW w:w="649"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6"/>
              <w:kinsoku w:val="0"/>
              <w:overflowPunct w:val="0"/>
              <w:spacing w:before="131" w:beforeLines="0" w:afterLines="0"/>
              <w:jc w:val="center"/>
              <w:rPr>
                <w:rFonts w:hint="default"/>
                <w:sz w:val="24"/>
              </w:rPr>
            </w:pPr>
          </w:p>
        </w:tc>
        <w:tc>
          <w:tcPr>
            <w:tcW w:w="649"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6"/>
              <w:kinsoku w:val="0"/>
              <w:overflowPunct w:val="0"/>
              <w:spacing w:before="131" w:beforeLines="0" w:afterLines="0"/>
              <w:jc w:val="center"/>
              <w:rPr>
                <w:rFonts w:hint="default"/>
                <w:sz w:val="24"/>
              </w:rPr>
            </w:pPr>
          </w:p>
        </w:tc>
        <w:tc>
          <w:tcPr>
            <w:tcW w:w="64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widowControl/>
              <w:jc w:val="center"/>
              <w:rPr>
                <w:rFonts w:hint="default"/>
                <w:sz w:val="24"/>
              </w:rP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widowControl/>
              <w:jc w:val="center"/>
              <w:rPr>
                <w:rFonts w:hint="default"/>
                <w:sz w:val="24"/>
              </w:rP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widowControl/>
              <w:jc w:val="center"/>
              <w:rPr>
                <w:rFonts w:hint="default"/>
                <w:sz w:val="24"/>
              </w:rP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widowControl/>
              <w:jc w:val="center"/>
              <w:rPr>
                <w:rFonts w:hint="default"/>
                <w:sz w:val="24"/>
              </w:rP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widowControl/>
              <w:jc w:val="center"/>
              <w:rPr>
                <w:rFonts w:hint="default"/>
                <w:sz w:val="24"/>
              </w:rPr>
            </w:pPr>
            <w:r>
              <w:rPr>
                <w:rFonts w:hint="eastAsia" w:ascii="宋体" w:hAnsi="宋体" w:cs="宋体"/>
                <w:color w:val="000000"/>
                <w:kern w:val="0"/>
                <w:sz w:val="20"/>
                <w:szCs w:val="20"/>
                <w:lang w:bidi="ar"/>
              </w:rPr>
              <w:t>总计</w:t>
            </w:r>
          </w:p>
        </w:tc>
        <w:tc>
          <w:tcPr>
            <w:tcW w:w="6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widowControl/>
              <w:jc w:val="center"/>
              <w:rPr>
                <w:rFonts w:hint="default"/>
                <w:sz w:val="24"/>
              </w:rP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widowControl/>
              <w:jc w:val="center"/>
              <w:rPr>
                <w:rFonts w:hint="default"/>
                <w:sz w:val="24"/>
              </w:rP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widowControl/>
              <w:jc w:val="center"/>
              <w:rPr>
                <w:rFonts w:hint="default"/>
                <w:sz w:val="24"/>
              </w:rP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widowControl/>
              <w:jc w:val="center"/>
              <w:rPr>
                <w:rFonts w:hint="default"/>
                <w:sz w:val="24"/>
              </w:rP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widowControl/>
              <w:jc w:val="center"/>
              <w:rPr>
                <w:rFonts w:hint="default"/>
                <w:sz w:val="24"/>
              </w:rP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trPr>
        <w:tc>
          <w:tcPr>
            <w:tcW w:w="64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w:t>
            </w:r>
          </w:p>
        </w:tc>
        <w:tc>
          <w:tcPr>
            <w:tcW w:w="64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w:t>
            </w:r>
          </w:p>
        </w:tc>
        <w:tc>
          <w:tcPr>
            <w:tcW w:w="64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w:t>
            </w:r>
          </w:p>
        </w:tc>
        <w:tc>
          <w:tcPr>
            <w:tcW w:w="64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w:t>
            </w:r>
          </w:p>
        </w:tc>
        <w:tc>
          <w:tcPr>
            <w:tcW w:w="64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w:t>
            </w:r>
          </w:p>
        </w:tc>
        <w:tc>
          <w:tcPr>
            <w:tcW w:w="64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w:t>
            </w:r>
          </w:p>
        </w:tc>
        <w:tc>
          <w:tcPr>
            <w:tcW w:w="64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w:t>
            </w:r>
          </w:p>
        </w:tc>
        <w:tc>
          <w:tcPr>
            <w:tcW w:w="6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w:t>
            </w:r>
          </w:p>
        </w:tc>
        <w:tc>
          <w:tcPr>
            <w:tcW w:w="6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w:t>
            </w:r>
          </w:p>
        </w:tc>
        <w:tc>
          <w:tcPr>
            <w:tcW w:w="6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w:t>
            </w:r>
          </w:p>
        </w:tc>
        <w:tc>
          <w:tcPr>
            <w:tcW w:w="6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w:t>
            </w:r>
          </w:p>
        </w:tc>
        <w:tc>
          <w:tcPr>
            <w:tcW w:w="6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w:t>
            </w:r>
          </w:p>
        </w:tc>
        <w:tc>
          <w:tcPr>
            <w:tcW w:w="6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w:t>
            </w:r>
          </w:p>
        </w:tc>
        <w:tc>
          <w:tcPr>
            <w:tcW w:w="6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w:t>
            </w:r>
          </w:p>
        </w:tc>
        <w:tc>
          <w:tcPr>
            <w:tcW w:w="6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w:t>
            </w:r>
          </w:p>
        </w:tc>
      </w:tr>
    </w:tbl>
    <w:p>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rPr>
      </w:pPr>
      <w:r>
        <w:rPr>
          <w:rFonts w:hint="eastAsia"/>
          <w:lang w:val="en-US" w:eastAsia="zh-CN"/>
        </w:rPr>
        <w:t>五、</w:t>
      </w:r>
      <w:r>
        <w:rPr>
          <w:rFonts w:hint="eastAsia"/>
        </w:rPr>
        <w:t>存在的主要问题及改进情况</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丰台区体育局各部门按照《政府信息公开条例》要求开展各项工作，但尚存在以下不足：对政府信息公开工作投入的工作力度还有待进一步加强；提供的公共服务类信息的还不够全面、及时。</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20</w:t>
      </w:r>
      <w:r>
        <w:rPr>
          <w:rFonts w:hint="eastAsia" w:ascii="仿宋_GB2312" w:hAnsi="仿宋_GB2312" w:eastAsia="仿宋_GB2312" w:cs="仿宋_GB2312"/>
          <w:lang w:val="en-US" w:eastAsia="zh-CN"/>
        </w:rPr>
        <w:t>23</w:t>
      </w:r>
      <w:r>
        <w:rPr>
          <w:rFonts w:hint="eastAsia" w:ascii="仿宋_GB2312" w:hAnsi="仿宋_GB2312" w:eastAsia="仿宋_GB2312" w:cs="仿宋_GB2312"/>
        </w:rPr>
        <w:t>年将着重在以下两个方面进一步做好政府信息公开工作：一是加强信息公开工作力度，增强服务意识和服务能力；二是公开信息及时更新，扩大覆盖面和影响力。</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rPr>
      </w:pPr>
      <w:r>
        <w:rPr>
          <w:rFonts w:hint="eastAsia"/>
        </w:rPr>
        <w:t>六、其他需要报告的事项</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发出收费通知的件数和总金额以及实际收取的总金额均为0。</w:t>
      </w:r>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Bahnschrift Light">
    <w:panose1 w:val="020B0502040204020203"/>
    <w:charset w:val="00"/>
    <w:family w:val="auto"/>
    <w:pitch w:val="default"/>
    <w:sig w:usb0="A00002C7" w:usb1="00000002" w:usb2="00000000" w:usb3="00000000" w:csb0="2000019F" w:csb1="00000000"/>
  </w:font>
  <w:font w:name="Bahnschrift Condensed">
    <w:panose1 w:val="020B0502040204020203"/>
    <w:charset w:val="00"/>
    <w:family w:val="auto"/>
    <w:pitch w:val="default"/>
    <w:sig w:usb0="A00002C7" w:usb1="00000002" w:usb2="00000000" w:usb3="00000000" w:csb0="2000019F" w:csb1="00000000"/>
  </w:font>
  <w:font w:name="Bahnschrift SemiBold Condensed">
    <w:panose1 w:val="020B0502040204020203"/>
    <w:charset w:val="00"/>
    <w:family w:val="auto"/>
    <w:pitch w:val="default"/>
    <w:sig w:usb0="A00002C7" w:usb1="00000002"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C48F7"/>
    <w:rsid w:val="2D9C48F7"/>
    <w:rsid w:val="33EF1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spacing w:beforeLines="0" w:afterLines="0"/>
    </w:pPr>
    <w:rPr>
      <w:rFonts w:hint="default" w:ascii="Times New Roman" w:hAnsi="Times New Roman" w:eastAsia="宋体" w:cs="Times New Roman"/>
      <w:sz w:val="2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beforeLines="0" w:afterLines="0"/>
      <w:ind w:left="1512"/>
    </w:pPr>
    <w:rPr>
      <w:rFonts w:hint="eastAsia" w:ascii="黑体" w:hAnsi="黑体" w:eastAsia="黑体"/>
      <w:sz w:val="32"/>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Table Paragraph"/>
    <w:basedOn w:val="1"/>
    <w:unhideWhenUsed/>
    <w:qFormat/>
    <w:uiPriority w:val="1"/>
    <w:pPr>
      <w:spacing w:beforeLines="0" w:afterLines="0"/>
    </w:pPr>
    <w:rPr>
      <w:rFonts w:hint="default"/>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2022-12-29T07:54:00Z</dcterms:created>
  <dc:creator>赵艳涛</dc:creator>
  <cp:lastModifiedBy>赵艳涛</cp:lastModifiedBy>
  <dcterms:modified xsi:type="dcterms:W3CDTF">2022-12-30T02:02:41Z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