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北京市丰台区人民政府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外事办公室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2021年政府信息公开工作年度报告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年，北京市丰台区人民政府外事办公室（以下简称“区政府外办”）根据《中华人民共和国政府信息公开条例》的要求，结合区政府外办工作实际，严格执行《北京市丰台区2021年政务公开工作要点》要求，积极务实推进政府信息公开工作，较好完成了2021年政府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以区政府门户网站信息公开专栏作为政府信息公开主渠道，全年发布信息45条。内容涉及领导会见、友城动态、疫情防控、外籍人员疫苗接种、国际语言环境建设、港澳交流等十余个类别。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程序开展依申请公开的答复工作，与申请人充分沟通，确保程序时限合法，答复形式、内容规范。2021年度受理政府信息公开申请12项，其中予以公开11项，属于国家秘密不予公开1项，均已严格按程序按时限办理完毕，未对申请人收取任何费用。未收到政府信息公开方面行政复议、诉讼和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推进政务公开制度化规范化建设。贯彻落实政府信息公开条例，严格落实条例的各项规定，制定2021年政务公开工作要点，明确全年工作思路和重点任务，扎实推进各项任务的落实。加强政府信息公开审查，进一步规范和加强政务公开信息发布管理，严格保密审查工作并建立健全常态化监管机制，未发生信息发布失信、影响社会稳定事件。严格执行信息公开年度报告制度。按时并主动公开区政府外办政府信息公开年报，完成政府信息公开全清单编制和报送工作，做到应公开尽公开。积极组织人员参加政府信息公开专题培训班，认真学习《中华人民共和国政府信息公开条例》和《北京市政府信息公开规定》，深入解读政策，提高政府信息公开意识和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420"/>
        <w:jc w:val="left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5"/>
        <w:gridCol w:w="2215"/>
        <w:gridCol w:w="2215"/>
        <w:gridCol w:w="22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5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信息内容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本年制发件数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本年废止件数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现行有效件数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规章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　　0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 　0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 0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行政规范性文件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　　0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 　0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 0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5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第二十条第（五）项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本年处理决定数量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 0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5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第二十条第（六）项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本年处理决定数量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　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　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5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第二十条第（八）项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本年收费金额（单位：万元）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505050"/>
                <w:spacing w:val="0"/>
                <w:u w:val="none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3"/>
        <w:tblW w:w="97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5"/>
        <w:gridCol w:w="3210"/>
        <w:gridCol w:w="690"/>
        <w:gridCol w:w="690"/>
        <w:gridCol w:w="690"/>
        <w:gridCol w:w="690"/>
        <w:gridCol w:w="690"/>
        <w:gridCol w:w="690"/>
        <w:gridCol w:w="6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20" w:type="dxa"/>
            <w:gridSpan w:val="3"/>
            <w:vMerge w:val="restar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（本列数据的勾稽关系为：第一项加第二项之和，等于第三项加第四项之和）</w:t>
            </w:r>
          </w:p>
        </w:tc>
        <w:tc>
          <w:tcPr>
            <w:tcW w:w="4815" w:type="dxa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20" w:type="dxa"/>
            <w:gridSpan w:val="3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690" w:type="dxa"/>
            <w:vMerge w:val="restar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自然人</w:t>
            </w:r>
          </w:p>
        </w:tc>
        <w:tc>
          <w:tcPr>
            <w:tcW w:w="3435" w:type="dxa"/>
            <w:gridSpan w:val="5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法人或其他组织</w:t>
            </w:r>
          </w:p>
        </w:tc>
        <w:tc>
          <w:tcPr>
            <w:tcW w:w="690" w:type="dxa"/>
            <w:vMerge w:val="restar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20" w:type="dxa"/>
            <w:gridSpan w:val="3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690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企业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机构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社会公益组织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法律服务机构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其他</w:t>
            </w:r>
          </w:p>
        </w:tc>
        <w:tc>
          <w:tcPr>
            <w:tcW w:w="690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20" w:type="dxa"/>
            <w:gridSpan w:val="3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一、本年新收政府信息公开申请数量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 12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20" w:type="dxa"/>
            <w:gridSpan w:val="3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二、上年结转政府信息公开申请数量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restar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三、本年度办理结果</w:t>
            </w:r>
          </w:p>
        </w:tc>
        <w:tc>
          <w:tcPr>
            <w:tcW w:w="4155" w:type="dxa"/>
            <w:gridSpan w:val="2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（一）予以公开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11 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55" w:type="dxa"/>
            <w:gridSpan w:val="2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（二）部分公开（区分处理的，只计这一情形，不计其他情形）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（三）不予公开</w:t>
            </w: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1.属于国家秘密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1 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1 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2.其他法律行政法规禁止公开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3.危及“三安全一稳定”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4.保护第三方合法权益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5.属于三类内部事务信息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6.属于四类过程性信息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7.属于行政执法案卷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8.属于行政查询事项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（四）无法提供</w:t>
            </w: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1.本机关不掌握相关政府信息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2.没有现成信息需要另行制作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3.补正后申请内容仍不明确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（五）不予处理</w:t>
            </w: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1.信访举报投诉类申请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2.重复申请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3.要求提供公开出版物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4.无正当理由大量反复申请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5.要求行政机关确认或重新出具已获取信息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（六）其他处理</w:t>
            </w: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1.申请人无正当理由逾期不补正、行政机关不再处理其政府信息公开申请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2.申请人逾期未按收费通知要求缴纳费用、行政机关不再处理其政府信息公开申请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3.其他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55" w:type="dxa"/>
            <w:gridSpan w:val="2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（七）总计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12 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12 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20" w:type="dxa"/>
            <w:gridSpan w:val="3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四、结转下年度继续办理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9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-420" w:leftChars="-20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四、政府信息公开行政复议、行政诉讼情况 </w:t>
      </w:r>
    </w:p>
    <w:tbl>
      <w:tblPr>
        <w:tblStyle w:val="3"/>
        <w:tblW w:w="97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645"/>
        <w:gridCol w:w="645"/>
        <w:gridCol w:w="645"/>
        <w:gridCol w:w="660"/>
        <w:gridCol w:w="645"/>
        <w:gridCol w:w="645"/>
        <w:gridCol w:w="645"/>
        <w:gridCol w:w="645"/>
        <w:gridCol w:w="675"/>
        <w:gridCol w:w="645"/>
        <w:gridCol w:w="645"/>
        <w:gridCol w:w="645"/>
        <w:gridCol w:w="645"/>
        <w:gridCol w:w="6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240" w:type="dxa"/>
            <w:gridSpan w:val="5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行政复议</w:t>
            </w:r>
          </w:p>
        </w:tc>
        <w:tc>
          <w:tcPr>
            <w:tcW w:w="6510" w:type="dxa"/>
            <w:gridSpan w:val="10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5" w:type="dxa"/>
            <w:vMerge w:val="restar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结果维持</w:t>
            </w:r>
          </w:p>
        </w:tc>
        <w:tc>
          <w:tcPr>
            <w:tcW w:w="645" w:type="dxa"/>
            <w:vMerge w:val="restar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结果</w:t>
            </w:r>
            <w:r>
              <w:rPr>
                <w:i w:val="0"/>
                <w:color w:val="505050"/>
                <w:u w:val="none"/>
                <w:vertAlign w:val="baseline"/>
              </w:rPr>
              <w:br w:type="textWrapping"/>
            </w:r>
            <w:r>
              <w:rPr>
                <w:i w:val="0"/>
                <w:color w:val="505050"/>
                <w:u w:val="none"/>
                <w:vertAlign w:val="baseline"/>
              </w:rPr>
              <w:t>纠正</w:t>
            </w:r>
          </w:p>
        </w:tc>
        <w:tc>
          <w:tcPr>
            <w:tcW w:w="645" w:type="dxa"/>
            <w:vMerge w:val="restar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其他</w:t>
            </w:r>
            <w:r>
              <w:rPr>
                <w:i w:val="0"/>
                <w:color w:val="505050"/>
                <w:u w:val="none"/>
                <w:vertAlign w:val="baseline"/>
              </w:rPr>
              <w:br w:type="textWrapping"/>
            </w:r>
            <w:r>
              <w:rPr>
                <w:i w:val="0"/>
                <w:color w:val="505050"/>
                <w:u w:val="none"/>
                <w:vertAlign w:val="baseline"/>
              </w:rPr>
              <w:t>结果</w:t>
            </w:r>
          </w:p>
        </w:tc>
        <w:tc>
          <w:tcPr>
            <w:tcW w:w="645" w:type="dxa"/>
            <w:vMerge w:val="restar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尚未</w:t>
            </w:r>
            <w:r>
              <w:rPr>
                <w:i w:val="0"/>
                <w:color w:val="505050"/>
                <w:u w:val="none"/>
                <w:vertAlign w:val="baseline"/>
              </w:rPr>
              <w:br w:type="textWrapping"/>
            </w:r>
            <w:r>
              <w:rPr>
                <w:i w:val="0"/>
                <w:color w:val="505050"/>
                <w:u w:val="none"/>
                <w:vertAlign w:val="baseline"/>
              </w:rPr>
              <w:t>审结</w:t>
            </w:r>
          </w:p>
        </w:tc>
        <w:tc>
          <w:tcPr>
            <w:tcW w:w="645" w:type="dxa"/>
            <w:vMerge w:val="restar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总计</w:t>
            </w:r>
          </w:p>
        </w:tc>
        <w:tc>
          <w:tcPr>
            <w:tcW w:w="3255" w:type="dxa"/>
            <w:gridSpan w:val="5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4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结果</w:t>
            </w:r>
            <w:r>
              <w:rPr>
                <w:i w:val="0"/>
                <w:color w:val="505050"/>
                <w:u w:val="none"/>
                <w:vertAlign w:val="baseline"/>
              </w:rPr>
              <w:br w:type="textWrapping"/>
            </w:r>
            <w:r>
              <w:rPr>
                <w:i w:val="0"/>
                <w:color w:val="505050"/>
                <w:u w:val="none"/>
                <w:vertAlign w:val="baseline"/>
              </w:rPr>
              <w:t>维持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结果</w:t>
            </w:r>
            <w:r>
              <w:rPr>
                <w:i w:val="0"/>
                <w:color w:val="505050"/>
                <w:u w:val="none"/>
                <w:vertAlign w:val="baseline"/>
              </w:rPr>
              <w:br w:type="textWrapping"/>
            </w:r>
            <w:r>
              <w:rPr>
                <w:i w:val="0"/>
                <w:color w:val="505050"/>
                <w:u w:val="none"/>
                <w:vertAlign w:val="baseline"/>
              </w:rPr>
              <w:t>纠正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其他</w:t>
            </w:r>
            <w:r>
              <w:rPr>
                <w:i w:val="0"/>
                <w:color w:val="505050"/>
                <w:u w:val="none"/>
                <w:vertAlign w:val="baseline"/>
              </w:rPr>
              <w:br w:type="textWrapping"/>
            </w:r>
            <w:r>
              <w:rPr>
                <w:i w:val="0"/>
                <w:color w:val="505050"/>
                <w:u w:val="none"/>
                <w:vertAlign w:val="baseline"/>
              </w:rPr>
              <w:t>结果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尚未</w:t>
            </w:r>
            <w:r>
              <w:rPr>
                <w:i w:val="0"/>
                <w:color w:val="505050"/>
                <w:u w:val="none"/>
                <w:vertAlign w:val="baseline"/>
              </w:rPr>
              <w:br w:type="textWrapping"/>
            </w:r>
            <w:r>
              <w:rPr>
                <w:i w:val="0"/>
                <w:color w:val="505050"/>
                <w:u w:val="none"/>
                <w:vertAlign w:val="baseline"/>
              </w:rPr>
              <w:t>审结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总计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结果</w:t>
            </w:r>
            <w:r>
              <w:rPr>
                <w:i w:val="0"/>
                <w:color w:val="505050"/>
                <w:u w:val="none"/>
                <w:vertAlign w:val="baseline"/>
              </w:rPr>
              <w:br w:type="textWrapping"/>
            </w:r>
            <w:r>
              <w:rPr>
                <w:i w:val="0"/>
                <w:color w:val="505050"/>
                <w:u w:val="none"/>
                <w:vertAlign w:val="baseline"/>
              </w:rPr>
              <w:t>维持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结果</w:t>
            </w:r>
            <w:r>
              <w:rPr>
                <w:i w:val="0"/>
                <w:color w:val="505050"/>
                <w:u w:val="none"/>
                <w:vertAlign w:val="baseline"/>
              </w:rPr>
              <w:br w:type="textWrapping"/>
            </w:r>
            <w:r>
              <w:rPr>
                <w:i w:val="0"/>
                <w:color w:val="505050"/>
                <w:u w:val="none"/>
                <w:vertAlign w:val="baseline"/>
              </w:rPr>
              <w:t>纠正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其他</w:t>
            </w:r>
            <w:r>
              <w:rPr>
                <w:i w:val="0"/>
                <w:color w:val="505050"/>
                <w:u w:val="none"/>
                <w:vertAlign w:val="baseline"/>
              </w:rPr>
              <w:br w:type="textWrapping"/>
            </w:r>
            <w:r>
              <w:rPr>
                <w:i w:val="0"/>
                <w:color w:val="505050"/>
                <w:u w:val="none"/>
                <w:vertAlign w:val="baseline"/>
              </w:rPr>
              <w:t>结果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尚未</w:t>
            </w:r>
            <w:r>
              <w:rPr>
                <w:i w:val="0"/>
                <w:color w:val="505050"/>
                <w:u w:val="none"/>
                <w:vertAlign w:val="baseline"/>
              </w:rPr>
              <w:br w:type="textWrapping"/>
            </w:r>
            <w:r>
              <w:rPr>
                <w:i w:val="0"/>
                <w:color w:val="505050"/>
                <w:u w:val="none"/>
                <w:vertAlign w:val="baseline"/>
              </w:rPr>
              <w:t>审结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0 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 0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textAlignment w:val="baseline"/>
              <w:rPr>
                <w:i w:val="0"/>
                <w:color w:val="505050"/>
                <w:u w:val="none"/>
              </w:rPr>
            </w:pPr>
            <w:r>
              <w:rPr>
                <w:i w:val="0"/>
                <w:color w:val="505050"/>
                <w:u w:val="none"/>
                <w:vertAlign w:val="baseline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疫情暴发以来，涉疫涉外相关工作量有所增加，如公共场所双语标识、外籍人员疫苗接种等，对我办信息公开申请数量有所增加。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我办一直以来以外事为民为基本出发点，着力健全和完善政府信息公开制度，规范公开内容，提高公开质量，尤其是对公众关注度高的涉疫涉外信息进一步规范公开内容和程序。一是信息公开规范化标准化有待提升，需要进一步健全和完善政府信息公开各项制度，提高信息工作标准，严格落实各项要求，确保政务信息公开工作规范、高效完成。二是扩大信息公开的覆盖面进一步加强，梳理公众关注度高的政务信息，结合疫情防控常态化的工作要求，加大对外籍人员接种疫苗等工作的公开力度。三是加强对信息公开工作人员的培训教育，结合外办岗位轮换的现实工作状况，对新负责信息公开工作的人员开展全方位培训，努力实现透明务实、高效便民的政务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发出收费通知的件数和总金额以及实际收取的总金额均为0。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617B5"/>
    <w:rsid w:val="13400676"/>
    <w:rsid w:val="22A617B5"/>
    <w:rsid w:val="72907EC1"/>
    <w:rsid w:val="75E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2022-08-30T07:09:00Z</dcterms:created>
  <dc:creator>Administrator</dc:creator>
  <cp:lastModifiedBy>Administrator</cp:lastModifiedBy>
  <dcterms:modified xsi:type="dcterms:W3CDTF">2022-08-30T07:27:38Z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