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18684">
      <w:pPr>
        <w:rPr>
          <w:rFonts w:ascii="仿宋_GB2312" w:eastAsia="仿宋_GB2312"/>
          <w:sz w:val="32"/>
          <w:szCs w:val="32"/>
        </w:rPr>
      </w:pPr>
    </w:p>
    <w:p w14:paraId="11E248D4"/>
    <w:p w14:paraId="31109C72">
      <w:pPr>
        <w:jc w:val="center"/>
        <w:rPr>
          <w:rFonts w:ascii="方正小标宋简体" w:eastAsia="方正小标宋简体"/>
          <w:sz w:val="44"/>
          <w:szCs w:val="44"/>
        </w:rPr>
      </w:pPr>
      <w:r>
        <w:rPr>
          <w:rFonts w:hint="eastAsia" w:ascii="方正小标宋简体" w:eastAsia="方正小标宋简体"/>
          <w:sz w:val="44"/>
          <w:szCs w:val="44"/>
        </w:rPr>
        <w:t>丰台区卫生计生委2016年度信息公开工作总结</w:t>
      </w:r>
    </w:p>
    <w:p w14:paraId="654E9A6D">
      <w:pPr>
        <w:rPr>
          <w:rFonts w:ascii="仿宋_GB2312" w:eastAsia="仿宋_GB2312"/>
          <w:sz w:val="32"/>
          <w:szCs w:val="32"/>
        </w:rPr>
      </w:pPr>
      <w:r>
        <w:rPr>
          <w:rFonts w:hint="eastAsia" w:ascii="仿宋_GB2312" w:eastAsia="仿宋_GB2312"/>
          <w:sz w:val="32"/>
          <w:szCs w:val="32"/>
        </w:rPr>
        <w:t xml:space="preserve">    在区政府信息公开办的正确领导下，我委积极落实各相关文件要求，较好地完成了本年度信息公开工作，现将具体工作总结如下：</w:t>
      </w:r>
    </w:p>
    <w:p w14:paraId="13873FB6">
      <w:pPr>
        <w:pStyle w:val="4"/>
        <w:numPr>
          <w:ilvl w:val="0"/>
          <w:numId w:val="1"/>
        </w:numPr>
        <w:ind w:firstLineChars="0"/>
        <w:rPr>
          <w:rFonts w:hint="eastAsia" w:ascii="黑体" w:hAnsi="黑体" w:eastAsia="黑体"/>
          <w:sz w:val="32"/>
          <w:szCs w:val="32"/>
        </w:rPr>
      </w:pPr>
      <w:r>
        <w:rPr>
          <w:rFonts w:hint="eastAsia" w:ascii="黑体" w:hAnsi="黑体" w:eastAsia="黑体"/>
          <w:sz w:val="32"/>
          <w:szCs w:val="32"/>
        </w:rPr>
        <w:t>组织领导情况</w:t>
      </w:r>
    </w:p>
    <w:p w14:paraId="46A3E31D">
      <w:pPr>
        <w:ind w:firstLine="640" w:firstLineChars="200"/>
        <w:rPr>
          <w:rFonts w:ascii="仿宋_GB2312" w:eastAsia="仿宋_GB2312"/>
          <w:sz w:val="32"/>
          <w:szCs w:val="32"/>
        </w:rPr>
      </w:pPr>
      <w:r>
        <w:rPr>
          <w:rFonts w:hint="eastAsia" w:ascii="仿宋_GB2312" w:eastAsia="仿宋_GB2312"/>
          <w:sz w:val="32"/>
          <w:szCs w:val="32"/>
        </w:rPr>
        <w:t>我委主要领导本年度在主任办公会上听取了2次政务公开工作汇报，并同分管领导共同研究部署了推进工作，明确了工作要求。</w:t>
      </w:r>
    </w:p>
    <w:p w14:paraId="184C99A4">
      <w:pPr>
        <w:ind w:firstLine="640" w:firstLineChars="200"/>
        <w:rPr>
          <w:rFonts w:ascii="仿宋_GB2312" w:eastAsia="仿宋_GB2312"/>
          <w:sz w:val="32"/>
          <w:szCs w:val="32"/>
        </w:rPr>
      </w:pPr>
      <w:r>
        <w:rPr>
          <w:rFonts w:hint="eastAsia" w:ascii="仿宋_GB2312" w:eastAsia="仿宋_GB2312"/>
          <w:sz w:val="32"/>
          <w:szCs w:val="32"/>
        </w:rPr>
        <w:t>我委建立了以办公室牵头负责、业务科室协助配合的政务公开协调机制，由办公室定期在信息公开相关网站公布政务信息。</w:t>
      </w:r>
    </w:p>
    <w:p w14:paraId="4DAEF4B4">
      <w:pPr>
        <w:ind w:firstLine="640" w:firstLineChars="200"/>
        <w:rPr>
          <w:rFonts w:ascii="仿宋_GB2312" w:eastAsia="仿宋_GB2312"/>
          <w:sz w:val="32"/>
          <w:szCs w:val="32"/>
        </w:rPr>
      </w:pPr>
      <w:r>
        <w:rPr>
          <w:rFonts w:hint="eastAsia" w:ascii="仿宋_GB2312" w:eastAsia="仿宋_GB2312"/>
          <w:sz w:val="32"/>
          <w:szCs w:val="32"/>
        </w:rPr>
        <w:t>我委确定了由办公室杜均起同志分管政务公开工作。</w:t>
      </w:r>
    </w:p>
    <w:p w14:paraId="4BEE8C36">
      <w:pPr>
        <w:ind w:firstLine="640" w:firstLineChars="200"/>
        <w:rPr>
          <w:rFonts w:hint="eastAsia" w:ascii="黑体" w:hAnsi="黑体" w:eastAsia="黑体"/>
          <w:sz w:val="32"/>
          <w:szCs w:val="32"/>
        </w:rPr>
      </w:pPr>
      <w:r>
        <w:rPr>
          <w:rFonts w:hint="eastAsia" w:ascii="黑体" w:hAnsi="黑体" w:eastAsia="黑体"/>
          <w:sz w:val="32"/>
          <w:szCs w:val="32"/>
        </w:rPr>
        <w:t>二、《政务公开要点》落实情况</w:t>
      </w:r>
    </w:p>
    <w:p w14:paraId="1985BFE6">
      <w:pPr>
        <w:ind w:firstLine="643" w:firstLineChars="200"/>
        <w:rPr>
          <w:rFonts w:ascii="仿宋_GB2312" w:eastAsia="仿宋_GB2312"/>
          <w:b/>
          <w:sz w:val="32"/>
          <w:szCs w:val="32"/>
        </w:rPr>
      </w:pPr>
      <w:r>
        <w:rPr>
          <w:rFonts w:hint="eastAsia" w:ascii="仿宋_GB2312" w:eastAsia="仿宋_GB2312"/>
          <w:b/>
          <w:sz w:val="32"/>
          <w:szCs w:val="32"/>
        </w:rPr>
        <w:t>（一）牵头负责部分</w:t>
      </w:r>
    </w:p>
    <w:p w14:paraId="3B1F8A96">
      <w:pPr>
        <w:ind w:firstLine="640" w:firstLineChars="200"/>
        <w:rPr>
          <w:rFonts w:ascii="仿宋_GB2312" w:eastAsia="仿宋_GB2312"/>
          <w:sz w:val="32"/>
          <w:szCs w:val="32"/>
        </w:rPr>
      </w:pPr>
      <w:r>
        <w:rPr>
          <w:rFonts w:hint="eastAsia" w:ascii="仿宋_GB2312" w:eastAsia="仿宋_GB2312"/>
          <w:sz w:val="32"/>
          <w:szCs w:val="32"/>
        </w:rPr>
        <w:t>我委牵头负责第36项公开要点:“做好公立医院综合改革、全科医生执业方式改革、农村医疗卫生服务机构建设相关政策措施的公开解读工作。结合本区分级诊疗工作实施情况，做好深化全科医生签约服务信息公开工作。加强法定传染病疫情及防控信息的公开。”项目进展及完成情况汇报如下：</w:t>
      </w:r>
    </w:p>
    <w:p w14:paraId="44146087">
      <w:pPr>
        <w:spacing w:line="560" w:lineRule="exact"/>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 xml:space="preserve">    一、有序深化医药卫生体制改革，不断完善医疗卫生服务体系</w:t>
      </w:r>
    </w:p>
    <w:p w14:paraId="5CC7F22F">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构建合理的分级诊疗服务体系。</w:t>
      </w:r>
      <w:r>
        <w:rPr>
          <w:rFonts w:hint="eastAsia" w:ascii="仿宋_GB2312" w:hAnsi="仿宋_GB2312" w:eastAsia="仿宋_GB2312" w:cs="仿宋_GB2312"/>
          <w:bCs/>
          <w:sz w:val="32"/>
          <w:szCs w:val="32"/>
        </w:rPr>
        <w:t>认真贯彻落实《国务院办公厅关于推进分级诊疗制度建设的指导意见》（国办发〔2015〕70号）,按照“基层首诊、双向转诊、急慢分治、上下联动”的要求，结合丰台区医疗资源分布情况，通过探索区域医疗协同、医疗机构管理模式等改革工作，逐步完善分级诊疗与双向转诊具体措施，研究制定《丰台区推进分级诊疗制度建设实施方案》，探索建立丰台区医联体理事会制度。制定了首都医科大学附属北京天坛医院与丰台区部分二级医院、社区卫生服务机构，组建以神经系统疾病为核心、以医疗技术支持为主要合作方式的专科医联体实施方案，明确了工作职责和医务流程。方案要求，天坛医院作为医联体内急危重症和疑难病症的诊疗中心，以提供住院服务、急诊服务和转诊服务为主；区域二级医院主要负责医联体内基本医疗服务及危重急症患者的抢救；社区卫生服务机构以维护和促进居民健康为主要职责，承担首诊、康复、慢病管理和预约转诊服务。</w:t>
      </w:r>
    </w:p>
    <w:p w14:paraId="7DA2D86D">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
          <w:bCs/>
          <w:color w:val="FF0000"/>
          <w:sz w:val="32"/>
          <w:szCs w:val="32"/>
        </w:rPr>
        <w:t xml:space="preserve">    </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医联体建设初现成效。</w:t>
      </w:r>
      <w:r>
        <w:rPr>
          <w:rFonts w:hint="eastAsia" w:ascii="仿宋_GB2312" w:hAnsi="宋体" w:eastAsia="仿宋_GB2312" w:cs="宋体"/>
          <w:bCs/>
          <w:sz w:val="32"/>
          <w:szCs w:val="32"/>
        </w:rPr>
        <w:t>已初步建立了6个区域医联体，包括5家区属医院，向上对接6家三级医院，向下联络15家</w:t>
      </w:r>
      <w:r>
        <w:rPr>
          <w:rFonts w:hint="eastAsia" w:ascii="仿宋_GB2312" w:hAnsi="宋体" w:eastAsia="仿宋_GB2312" w:cs="Helvetica Neue"/>
          <w:kern w:val="0"/>
          <w:sz w:val="32"/>
          <w:szCs w:val="32"/>
        </w:rPr>
        <w:t>社区</w:t>
      </w:r>
      <w:r>
        <w:rPr>
          <w:rFonts w:hint="eastAsia" w:ascii="仿宋_GB2312" w:hAnsi="宋体" w:eastAsia="仿宋_GB2312" w:cs="宋体"/>
          <w:bCs/>
          <w:sz w:val="32"/>
          <w:szCs w:val="32"/>
        </w:rPr>
        <w:t>卫生服务中心、2家社区卫生服务站。</w:t>
      </w:r>
      <w:r>
        <w:rPr>
          <w:rFonts w:hint="eastAsia" w:ascii="仿宋_GB2312" w:hAnsi="仿宋_GB2312" w:eastAsia="仿宋_GB2312" w:cs="仿宋_GB2312"/>
          <w:bCs/>
          <w:sz w:val="32"/>
          <w:szCs w:val="32"/>
        </w:rPr>
        <w:t>丰台医院12个科室与北京大学第一医院开展了深度合作，部分合作科室门急诊就诊人次与出院人次较去年同期有明显增长；北京中医医院重点加强了对丰台中西医结合医院心内科、脑病科、骨科3个重点专科的指导；铁营医院与北医六院精神科和心身医学科合作，共同组织开展心身疾病联合查房；丰台妇幼保健院与郑州市中医院、中医药大学东方医院建立了中医妇幼医联体。</w:t>
      </w:r>
    </w:p>
    <w:p w14:paraId="6B55C841">
      <w:pPr>
        <w:spacing w:line="560" w:lineRule="exact"/>
        <w:rPr>
          <w:rFonts w:hint="eastAsia" w:ascii="仿宋_GB2312" w:hAnsi="仿宋_GB2312" w:eastAsia="仿宋_GB2312" w:cs="仿宋_GB2312"/>
          <w:bCs/>
          <w:color w:val="FF0000"/>
          <w:kern w:val="0"/>
          <w:sz w:val="32"/>
          <w:szCs w:val="32"/>
        </w:rPr>
      </w:pPr>
      <w:r>
        <w:rPr>
          <w:rFonts w:hint="eastAsia" w:ascii="仿宋_GB2312" w:hAnsi="仿宋_GB2312" w:eastAsia="仿宋_GB2312" w:cs="仿宋_GB2312"/>
          <w:b/>
          <w:bCs/>
          <w:color w:val="000000"/>
          <w:sz w:val="32"/>
          <w:szCs w:val="32"/>
        </w:rPr>
        <w:t xml:space="preserve">    三是</w:t>
      </w:r>
      <w:r>
        <w:rPr>
          <w:rFonts w:hint="eastAsia" w:ascii="仿宋_GB2312" w:hAnsi="仿宋_GB2312" w:eastAsia="仿宋_GB2312" w:cs="仿宋_GB2312"/>
          <w:color w:val="000000"/>
          <w:sz w:val="32"/>
          <w:szCs w:val="32"/>
        </w:rPr>
        <w:t>鼓励和引导社会资本发展医疗卫生事业。</w:t>
      </w:r>
      <w:r>
        <w:rPr>
          <w:rFonts w:hint="eastAsia" w:ascii="仿宋_GB2312" w:hAnsi="仿宋_GB2312" w:eastAsia="仿宋_GB2312" w:cs="仿宋_GB2312"/>
          <w:bCs/>
          <w:color w:val="000000"/>
          <w:kern w:val="0"/>
          <w:sz w:val="32"/>
          <w:szCs w:val="32"/>
        </w:rPr>
        <w:t>引入社会资本促进丰台医疗卫生事业发展，更好地满足人民群众不断增长的多层次的医疗卫生服务需求。截止2016年10底，我区新设置审批医疗机构9家，其中口腔医院2家、医疗美容医院1家、门诊部4家，医务室2家；新执业登记医疗机构7家，其中口腔医院1家，社区卫生服务中心1家，口腔门诊部1家，社区卫生服务站2家，医学检验所1家，医务室1家。</w:t>
      </w:r>
    </w:p>
    <w:p w14:paraId="54F04CCA">
      <w:pPr>
        <w:tabs>
          <w:tab w:val="left" w:pos="1440"/>
        </w:tabs>
        <w:adjustRightInd w:val="0"/>
        <w:snapToGrid w:val="0"/>
        <w:spacing w:line="560" w:lineRule="exact"/>
        <w:ind w:firstLine="643" w:firstLineChars="200"/>
        <w:rPr>
          <w:rFonts w:ascii="仿宋_GB2312" w:hAnsi="Calibri" w:eastAsia="仿宋_GB2312" w:cs="Times New Roman"/>
          <w:sz w:val="32"/>
          <w:szCs w:val="32"/>
        </w:rPr>
      </w:pPr>
      <w:r>
        <w:rPr>
          <w:rFonts w:hint="eastAsia" w:ascii="仿宋_GB2312" w:hAnsi="仿宋_GB2312" w:eastAsia="仿宋_GB2312" w:cs="仿宋_GB2312"/>
          <w:b/>
          <w:bCs/>
          <w:color w:val="000000"/>
          <w:sz w:val="32"/>
          <w:szCs w:val="32"/>
        </w:rPr>
        <w:t>四是</w:t>
      </w:r>
      <w:r>
        <w:rPr>
          <w:rFonts w:hint="eastAsia" w:ascii="仿宋_GB2312" w:hAnsi="仿宋_GB2312" w:eastAsia="仿宋_GB2312" w:cs="仿宋_GB2312"/>
          <w:color w:val="000000"/>
          <w:sz w:val="32"/>
          <w:szCs w:val="32"/>
        </w:rPr>
        <w:t>严格医疗机构行政许可事项。</w:t>
      </w:r>
      <w:r>
        <w:rPr>
          <w:rFonts w:hint="eastAsia" w:ascii="仿宋_GB2312" w:hAnsi="Calibri" w:eastAsia="仿宋_GB2312" w:cs="Times New Roman"/>
          <w:sz w:val="32"/>
          <w:szCs w:val="32"/>
        </w:rPr>
        <w:t>认真贯彻执行《行政许可法》《医疗机构管理条例》</w:t>
      </w:r>
      <w:r>
        <w:rPr>
          <w:rFonts w:hint="eastAsia" w:ascii="仿宋_GB2312" w:hAnsi="仿宋_GB2312" w:eastAsia="仿宋_GB2312" w:cs="Times New Roman"/>
          <w:sz w:val="32"/>
          <w:szCs w:val="32"/>
        </w:rPr>
        <w:t>《北京市医疗机构许可管理办法》</w:t>
      </w:r>
      <w:r>
        <w:rPr>
          <w:rFonts w:hint="eastAsia" w:ascii="仿宋_GB2312" w:hAnsi="Calibri" w:eastAsia="仿宋_GB2312" w:cs="Times New Roman"/>
          <w:sz w:val="32"/>
          <w:szCs w:val="32"/>
        </w:rPr>
        <w:t>等相关规定，</w:t>
      </w:r>
      <w:r>
        <w:rPr>
          <w:rFonts w:hint="eastAsia" w:ascii="仿宋_GB2312" w:hAnsi="仿宋_GB2312" w:eastAsia="仿宋_GB2312" w:cs="仿宋_GB2312"/>
          <w:bCs/>
          <w:color w:val="000000"/>
          <w:kern w:val="0"/>
          <w:sz w:val="32"/>
          <w:szCs w:val="32"/>
        </w:rPr>
        <w:t>截止2016年10底，</w:t>
      </w:r>
      <w:r>
        <w:rPr>
          <w:rFonts w:hint="eastAsia" w:ascii="仿宋_GB2312" w:hAnsi="Calibri" w:eastAsia="仿宋_GB2312" w:cs="Times New Roman"/>
          <w:sz w:val="32"/>
          <w:szCs w:val="32"/>
        </w:rPr>
        <w:t>共完成医疗机构行政许可661项，其中医疗机构设置9项，医疗机构执业登记7项，医疗机构变更154项，医疗机构校验463项，医疗机构停业15项，医疗机构注销13项。</w:t>
      </w:r>
    </w:p>
    <w:p w14:paraId="21BEBFDF">
      <w:pPr>
        <w:spacing w:line="560" w:lineRule="exact"/>
        <w:ind w:firstLine="648"/>
        <w:rPr>
          <w:rFonts w:hint="eastAsia" w:ascii="仿宋_GB2312" w:hAnsi="仿宋_GB2312" w:eastAsia="仿宋_GB2312" w:cs="仿宋_GB2312"/>
          <w:color w:val="000000"/>
          <w:kern w:val="0"/>
          <w:sz w:val="32"/>
          <w:szCs w:val="32"/>
        </w:rPr>
      </w:pPr>
      <w:r>
        <w:rPr>
          <w:rFonts w:hint="eastAsia" w:ascii="仿宋_GB2312" w:hAnsi="新宋体" w:eastAsia="仿宋_GB2312" w:cs="Times New Roman"/>
          <w:b/>
          <w:bCs/>
          <w:color w:val="000000"/>
          <w:sz w:val="32"/>
          <w:szCs w:val="32"/>
        </w:rPr>
        <w:t>五是</w:t>
      </w:r>
      <w:r>
        <w:rPr>
          <w:rFonts w:hint="eastAsia" w:ascii="仿宋_GB2312" w:hAnsi="新宋体" w:eastAsia="仿宋_GB2312" w:cs="Times New Roman"/>
          <w:color w:val="000000"/>
          <w:sz w:val="32"/>
          <w:szCs w:val="32"/>
        </w:rPr>
        <w:t>加强医疗机构校验审核。严格按照贯彻落实《丰台区医疗机构校验管理办法（试行）》，开展医疗机构年度校验现场审查，并将医疗机构校验现场审核与医疗机构日常监督相结合，将日常监管内容纳入年度校验内容，完成了2015-2016年度463家医疗机构校验工作。</w:t>
      </w:r>
    </w:p>
    <w:p w14:paraId="2DD3835D">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二、强化医疗质量管理，医疗安全水平明显提升</w:t>
      </w:r>
    </w:p>
    <w:p w14:paraId="266346DA">
      <w:pPr>
        <w:spacing w:line="560" w:lineRule="exact"/>
        <w:ind w:firstLine="640" w:firstLineChars="200"/>
        <w:rPr>
          <w:rFonts w:hint="eastAsia" w:ascii="仿宋" w:hAnsi="仿宋" w:eastAsia="仿宋" w:cs="Times New Roman"/>
          <w:sz w:val="32"/>
          <w:szCs w:val="32"/>
        </w:rPr>
      </w:pPr>
      <w:r>
        <w:rPr>
          <w:rFonts w:hint="eastAsia" w:ascii="仿宋_GB2312" w:hAnsi="仿宋_GB2312" w:eastAsia="仿宋_GB2312" w:cs="仿宋_GB2312"/>
          <w:bCs/>
          <w:color w:val="000000"/>
          <w:sz w:val="32"/>
          <w:szCs w:val="32"/>
        </w:rPr>
        <w:t>认真落实国家改善医疗服务行动计划。</w:t>
      </w:r>
      <w:r>
        <w:rPr>
          <w:rFonts w:hint="eastAsia" w:ascii="仿宋_GB2312" w:hAnsi="新宋体" w:eastAsia="仿宋_GB2312" w:cs="Times New Roman"/>
          <w:color w:val="000000"/>
          <w:sz w:val="32"/>
          <w:szCs w:val="32"/>
        </w:rPr>
        <w:t>为进一步推动“改善医疗服务行动计划”深入实</w:t>
      </w:r>
      <w:r>
        <w:rPr>
          <w:rFonts w:hint="eastAsia" w:ascii="仿宋" w:hAnsi="仿宋" w:eastAsia="仿宋" w:cs="Times New Roman"/>
          <w:sz w:val="32"/>
          <w:szCs w:val="32"/>
        </w:rPr>
        <w:t>施，我委认真落实《国家卫生计生委医政医管局关于开展2016年度“改善服务亮点推荐及展示活动”的通知》精神，积极开展2016年度“改善服务亮点推荐及展示活动”。通过交流研讨，宣传报道，进一步展示改善服务创新成果，提高医疗服务水平，切实改善人民群众看病就医感受。</w:t>
      </w:r>
    </w:p>
    <w:p w14:paraId="49A1D849">
      <w:pPr>
        <w:spacing w:line="560" w:lineRule="exact"/>
        <w:ind w:firstLine="640" w:firstLineChars="200"/>
        <w:rPr>
          <w:rFonts w:ascii="仿宋_GB2312" w:hAnsi="Calibri" w:eastAsia="仿宋_GB2312" w:cs="Times New Roman"/>
          <w:color w:val="000000"/>
          <w:sz w:val="32"/>
          <w:szCs w:val="32"/>
        </w:rPr>
      </w:pPr>
      <w:r>
        <w:rPr>
          <w:rFonts w:hint="eastAsia" w:ascii="仿宋_GB2312" w:hAnsi="仿宋_GB2312" w:eastAsia="仿宋_GB2312" w:cs="仿宋_GB2312"/>
          <w:bCs/>
          <w:color w:val="000000"/>
          <w:sz w:val="32"/>
          <w:szCs w:val="32"/>
        </w:rPr>
        <w:t>深化DRGs医院评价体系。</w:t>
      </w:r>
      <w:r>
        <w:rPr>
          <w:rFonts w:hint="eastAsia" w:ascii="仿宋_GB2312" w:hAnsi="Calibri" w:eastAsia="仿宋_GB2312" w:cs="Times New Roman"/>
          <w:color w:val="000000"/>
          <w:sz w:val="32"/>
          <w:szCs w:val="32"/>
        </w:rPr>
        <w:t>继续推动综合利用DRGs等评价手段，将服务质量、医疗安全、医院管理和社会满意度等内容列入辖区内二、三级医院评价体系，适时向社会发布；开展了全区病案首页培训工作,共有150余人参加了培训，为辖区DRGs一级医院绩效评价工作奠定了良好基础。</w:t>
      </w:r>
    </w:p>
    <w:p w14:paraId="60F3401C">
      <w:pPr>
        <w:spacing w:line="560" w:lineRule="exact"/>
        <w:ind w:firstLine="630"/>
        <w:rPr>
          <w:rFonts w:ascii="仿宋_GB2312" w:hAnsi="Times New Roman" w:eastAsia="仿宋_GB2312" w:cs="Times New Roman"/>
          <w:sz w:val="32"/>
          <w:szCs w:val="32"/>
        </w:rPr>
      </w:pPr>
      <w:r>
        <w:rPr>
          <w:rFonts w:hint="eastAsia" w:ascii="仿宋_GB2312" w:hAnsi="Times New Roman" w:eastAsia="仿宋_GB2312" w:cs="Times New Roman"/>
          <w:bCs/>
          <w:sz w:val="32"/>
          <w:szCs w:val="32"/>
        </w:rPr>
        <w:t>完善农村基层卫生管理体系，村级医疗卫生服务水平明显</w:t>
      </w:r>
      <w:r>
        <w:rPr>
          <w:rFonts w:hint="eastAsia" w:ascii="仿宋_GB2312" w:hAnsi="仿宋_GB2312" w:eastAsia="仿宋_GB2312" w:cs="仿宋_GB2312"/>
          <w:bCs/>
          <w:color w:val="000000"/>
          <w:sz w:val="32"/>
          <w:szCs w:val="32"/>
        </w:rPr>
        <w:t>提高。</w:t>
      </w:r>
      <w:r>
        <w:rPr>
          <w:rFonts w:hint="eastAsia" w:ascii="仿宋_GB2312" w:hAnsi="Times New Roman" w:eastAsia="仿宋_GB2312" w:cs="Times New Roman"/>
          <w:sz w:val="32"/>
          <w:szCs w:val="32"/>
        </w:rPr>
        <w:t>根据《国务院办公厅关于进一步加强乡村医生队伍建设的实施意见》《北京市关于加强村级医疗卫生机构和乡村医生队伍建设的实施方案》有关要求，制定并实施了《丰台区关于加强村级医疗卫生机构和乡村医生队伍建设的实施方案》，使村级医疗卫生机构和乡村医生队伍建设得到加强，解决了农村地区医疗资源缺失及乡村医生队伍老化、待遇偏低等问题，完善了农村基层卫生服务网，提高了村级医疗卫生服务能力和水平，推进了城乡一体化医疗卫生服务体系建设，基本满足了农村居民日益增长的医疗卫生服务需求。</w:t>
      </w:r>
    </w:p>
    <w:p w14:paraId="6EEF58F9">
      <w:pPr>
        <w:snapToGrid w:val="0"/>
        <w:spacing w:line="560" w:lineRule="exact"/>
        <w:rPr>
          <w:rFonts w:ascii="仿宋_GB2312" w:hAnsi="Calibri" w:eastAsia="仿宋_GB2312" w:cs="Times New Roman"/>
          <w:color w:val="000000"/>
          <w:sz w:val="32"/>
          <w:szCs w:val="32"/>
        </w:rPr>
      </w:pPr>
      <w:r>
        <w:rPr>
          <w:rFonts w:hint="eastAsia" w:ascii="仿宋_GB2312" w:hAnsi="仿宋_GB2312" w:eastAsia="仿宋_GB2312" w:cs="仿宋_GB2312"/>
          <w:color w:val="3366FF"/>
          <w:sz w:val="32"/>
          <w:szCs w:val="32"/>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Cs/>
          <w:color w:val="000000"/>
          <w:sz w:val="32"/>
          <w:szCs w:val="32"/>
        </w:rPr>
        <w:t>充分发挥医疗专业质控组织作用。</w:t>
      </w:r>
      <w:r>
        <w:rPr>
          <w:rFonts w:hint="eastAsia" w:ascii="仿宋_GB2312" w:hAnsi="Calibri" w:eastAsia="仿宋_GB2312" w:cs="Times New Roman"/>
          <w:color w:val="000000"/>
          <w:sz w:val="32"/>
          <w:szCs w:val="32"/>
        </w:rPr>
        <w:t>检验、影像、麻醉质控中心，卫生和计划生育综合服务中心利用质控中心等单位，一年都结合各自的中心工作，开展了卓有成效的工作，共</w:t>
      </w:r>
      <w:r>
        <w:rPr>
          <w:rFonts w:hint="eastAsia" w:ascii="仿宋_GB2312" w:hAnsi="Calibri" w:eastAsia="仿宋_GB2312" w:cs="Times New Roman"/>
          <w:sz w:val="32"/>
          <w:szCs w:val="32"/>
        </w:rPr>
        <w:t>举办了15场次1260名各专业人员参加的业务培训，为提升区内整体医疗水平做出了应的贡献。</w:t>
      </w:r>
    </w:p>
    <w:p w14:paraId="6F352A6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在做好上述工作的同时，还强化了对医疗机构特别是针对</w:t>
      </w:r>
      <w:r>
        <w:rPr>
          <w:rFonts w:hint="eastAsia" w:ascii="仿宋_GB2312" w:hAnsi="仿宋" w:eastAsia="仿宋_GB2312" w:cs="Times New Roman"/>
          <w:sz w:val="32"/>
          <w:szCs w:val="32"/>
        </w:rPr>
        <w:t>医院医疗特色，组织相关专家及管理人员进行现场指导；</w:t>
      </w:r>
      <w:r>
        <w:rPr>
          <w:rFonts w:hint="eastAsia" w:ascii="仿宋_GB2312" w:hAnsi="仿宋_GB2312" w:eastAsia="仿宋_GB2312" w:cs="仿宋_GB2312"/>
          <w:color w:val="000000"/>
          <w:sz w:val="32"/>
          <w:szCs w:val="32"/>
        </w:rPr>
        <w:t>严格了准入制度,加强了对医疗机构及医务人员的注册管理；</w:t>
      </w:r>
      <w:r>
        <w:rPr>
          <w:rFonts w:hint="eastAsia" w:ascii="仿宋_GB2312" w:hAnsi="仿宋_GB2312" w:eastAsia="仿宋_GB2312" w:cs="仿宋_GB2312"/>
          <w:sz w:val="32"/>
          <w:szCs w:val="32"/>
        </w:rPr>
        <w:t>加强社区卫生服务机构处方点评工作。</w:t>
      </w:r>
      <w:r>
        <w:rPr>
          <w:rFonts w:hint="eastAsia" w:ascii="仿宋_GB2312" w:hAnsi="仿宋" w:eastAsia="仿宋_GB2312" w:cs="Times New Roman"/>
          <w:sz w:val="32"/>
          <w:szCs w:val="32"/>
        </w:rPr>
        <w:t>提高了医疗机构和医师的合理用药水平，保障了全区人民群众用药的可及性、安全性和有效性。</w:t>
      </w:r>
      <w:r>
        <w:rPr>
          <w:rFonts w:hint="eastAsia" w:ascii="仿宋_GB2312" w:hAnsi="仿宋_GB2312" w:eastAsia="仿宋_GB2312" w:cs="仿宋_GB2312"/>
          <w:sz w:val="32"/>
          <w:szCs w:val="32"/>
          <w:lang w:val="zh-CN"/>
        </w:rPr>
        <w:t>加强社会办医执业行为监管，</w:t>
      </w:r>
      <w:r>
        <w:rPr>
          <w:rFonts w:hint="eastAsia" w:ascii="仿宋_GB2312" w:hAnsi="仿宋_GB2312" w:eastAsia="仿宋_GB2312" w:cs="仿宋_GB2312"/>
          <w:sz w:val="32"/>
          <w:szCs w:val="32"/>
        </w:rPr>
        <w:t>有效防范医疗纠纷。开展丰台区诚信评价体系建设工作。</w:t>
      </w:r>
      <w:r>
        <w:rPr>
          <w:rFonts w:hint="eastAsia" w:ascii="仿宋_GB2312" w:hAnsi="Calibri" w:eastAsia="仿宋_GB2312" w:cs="Times New Roman"/>
          <w:sz w:val="32"/>
          <w:szCs w:val="32"/>
        </w:rPr>
        <w:t>促进了医疗机构</w:t>
      </w:r>
      <w:r>
        <w:rPr>
          <w:rFonts w:hint="eastAsia" w:ascii="仿宋_GB2312" w:hAnsi="B6+CAJSymbolA" w:eastAsia="仿宋_GB2312" w:cs="Times New Roman"/>
          <w:sz w:val="32"/>
          <w:szCs w:val="32"/>
        </w:rPr>
        <w:t>行业风尚的逐步形成。</w:t>
      </w:r>
      <w:r>
        <w:rPr>
          <w:rFonts w:hint="eastAsia" w:ascii="仿宋_GB2312" w:hAnsi="仿宋_GB2312" w:eastAsia="仿宋_GB2312" w:cs="仿宋_GB2312"/>
          <w:sz w:val="32"/>
          <w:szCs w:val="32"/>
        </w:rPr>
        <w:t>加强医疗机构监管，加强防范医疗纠纷和调处工作。</w:t>
      </w:r>
    </w:p>
    <w:p w14:paraId="65A80163">
      <w:pPr>
        <w:spacing w:line="560" w:lineRule="exact"/>
        <w:ind w:firstLine="640" w:firstLineChars="200"/>
        <w:rPr>
          <w:rFonts w:hint="eastAsia" w:ascii="楷体_GB2312" w:hAnsi="楷体_GB2312" w:eastAsia="楷体_GB2312" w:cs="楷体_GB2312"/>
          <w:kern w:val="1"/>
          <w:sz w:val="32"/>
          <w:szCs w:val="32"/>
        </w:rPr>
      </w:pPr>
      <w:r>
        <w:rPr>
          <w:rFonts w:hint="eastAsia" w:ascii="楷体_GB2312" w:hAnsi="楷体_GB2312" w:eastAsia="楷体_GB2312" w:cs="楷体_GB2312"/>
          <w:kern w:val="1"/>
          <w:sz w:val="32"/>
          <w:szCs w:val="32"/>
        </w:rPr>
        <w:t>三、</w:t>
      </w:r>
      <w:r>
        <w:rPr>
          <w:rFonts w:hint="eastAsia" w:ascii="楷体_GB2312" w:hAnsi="楷体_GB2312" w:eastAsia="楷体_GB2312" w:cs="楷体_GB2312"/>
          <w:sz w:val="32"/>
          <w:szCs w:val="32"/>
        </w:rPr>
        <w:t>弘扬传统医学</w:t>
      </w:r>
      <w:r>
        <w:rPr>
          <w:rFonts w:hint="eastAsia" w:ascii="楷体_GB2312" w:hAnsi="楷体_GB2312" w:eastAsia="楷体_GB2312" w:cs="楷体_GB2312"/>
          <w:kern w:val="1"/>
          <w:sz w:val="32"/>
          <w:szCs w:val="32"/>
        </w:rPr>
        <w:t>，振兴中医药产业</w:t>
      </w:r>
    </w:p>
    <w:p w14:paraId="794A22AE">
      <w:pPr>
        <w:spacing w:line="360" w:lineRule="auto"/>
        <w:ind w:firstLine="643" w:firstLineChars="200"/>
        <w:rPr>
          <w:rFonts w:ascii="仿宋_GB2312" w:hAnsi="Calibri" w:eastAsia="仿宋_GB2312" w:cs="Times New Roman"/>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积极开展国家中医药发展综合改革试验区创建工作</w:t>
      </w:r>
      <w:r>
        <w:rPr>
          <w:rFonts w:hint="eastAsia" w:ascii="仿宋_GB2312" w:hAnsi="仿宋_GB2312" w:eastAsia="仿宋_GB2312" w:cs="仿宋_GB2312"/>
          <w:b/>
          <w:bCs/>
          <w:sz w:val="32"/>
          <w:szCs w:val="32"/>
        </w:rPr>
        <w:t>。</w:t>
      </w:r>
      <w:r>
        <w:rPr>
          <w:rFonts w:hint="eastAsia" w:ascii="仿宋_GB2312" w:hAnsi="Calibri" w:eastAsia="仿宋_GB2312" w:cs="Times New Roman"/>
          <w:sz w:val="32"/>
          <w:szCs w:val="32"/>
        </w:rPr>
        <w:t>为传承和弘扬中华优秀传统文化，推动中医药健康服务创新发展，不断满足人民群众对中医药健康服务的需求。2016年，我委在区委区政府的正确领导下，审时度势，把握中医药事业发展的重大机遇，扎实推进中医药健康服务业创新实验区建设工作。通过积极与区园林绿化局、区规划分局、长辛店镇等单位协调，多方考察论证，初步形成了依托北宫国家森林公园打造成中医养生公园的设计思路，完成了国家中医药健康服务业创新试验区的申报工作；圆满组织开展了“院士丰台行”——中医药健康服务业创新发展主题活动。</w:t>
      </w:r>
    </w:p>
    <w:p w14:paraId="2C2166BF">
      <w:pPr>
        <w:spacing w:line="360" w:lineRule="auto"/>
        <w:ind w:firstLine="643" w:firstLineChars="200"/>
        <w:rPr>
          <w:rFonts w:ascii="仿宋_GB2312" w:hAnsi="Calibri" w:eastAsia="仿宋_GB2312" w:cs="Times New Roman"/>
          <w:sz w:val="32"/>
          <w:szCs w:val="32"/>
        </w:rPr>
      </w:pP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积极开展国家中医药健康旅游示范区创建工作</w:t>
      </w:r>
      <w:r>
        <w:rPr>
          <w:rFonts w:hint="eastAsia" w:ascii="仿宋_GB2312" w:hAnsi="仿宋_GB2312" w:eastAsia="仿宋_GB2312" w:cs="仿宋_GB2312"/>
          <w:b/>
          <w:bCs/>
          <w:sz w:val="32"/>
          <w:szCs w:val="32"/>
        </w:rPr>
        <w:t>。</w:t>
      </w:r>
      <w:r>
        <w:rPr>
          <w:rFonts w:hint="eastAsia" w:ascii="仿宋_GB2312" w:hAnsi="Calibri" w:eastAsia="仿宋_GB2312" w:cs="Times New Roman"/>
          <w:sz w:val="32"/>
          <w:szCs w:val="32"/>
        </w:rPr>
        <w:t>为推动旅游与中医药深度融合，促进中医药健康旅游业的发展，更好地满足人民群众对中医药健康旅游的需求，我委协调组织成</w:t>
      </w:r>
      <w:r>
        <w:rPr>
          <w:rFonts w:hint="eastAsia" w:ascii="仿宋_GB2312" w:hAnsi="Calibri" w:eastAsia="仿宋_GB2312" w:cs="Times New Roman"/>
          <w:color w:val="000000"/>
          <w:sz w:val="32"/>
          <w:szCs w:val="32"/>
        </w:rPr>
        <w:t>立了丰台区创建国家中医药健康旅游示范区工作协调小组，</w:t>
      </w:r>
      <w:r>
        <w:rPr>
          <w:rFonts w:hint="eastAsia" w:ascii="仿宋_GB2312" w:hAnsi="Calibri" w:eastAsia="仿宋_GB2312" w:cs="Times New Roman"/>
          <w:sz w:val="32"/>
          <w:szCs w:val="32"/>
        </w:rPr>
        <w:t>总结了我区近三年中医药健康旅游发展情况，对我区相关产业进行了总结和规划，完成了丰台区创建国家中医药健康旅游示范区的申报工作。</w:t>
      </w:r>
    </w:p>
    <w:p w14:paraId="186F78D8">
      <w:pPr>
        <w:spacing w:line="360" w:lineRule="auto"/>
        <w:ind w:firstLine="643" w:firstLineChars="200"/>
        <w:rPr>
          <w:rFonts w:ascii="仿宋_GB2312" w:hAnsi="Calibri" w:eastAsia="仿宋_GB2312" w:cs="Times New Roman"/>
          <w:color w:val="000000"/>
          <w:sz w:val="32"/>
          <w:szCs w:val="32"/>
        </w:rPr>
      </w:pP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成功组织了北宫养生季活动。</w:t>
      </w:r>
      <w:r>
        <w:rPr>
          <w:rFonts w:hint="eastAsia" w:ascii="仿宋_GB2312" w:hAnsi="Calibri" w:eastAsia="仿宋_GB2312" w:cs="Times New Roman"/>
          <w:sz w:val="32"/>
          <w:szCs w:val="32"/>
        </w:rPr>
        <w:t>按照“健康中国”战略布局和首都中医药事业发展的新定位、新目标、新任务的要求，我委于2016年6月启动并承办了丰台区“传承中医药文化，服务全民健康”为主题的北宫中医药健康养生季活动，该</w:t>
      </w:r>
      <w:r>
        <w:rPr>
          <w:rFonts w:hint="eastAsia" w:ascii="仿宋_GB2312" w:hAnsi="仿宋_GB2312" w:eastAsia="仿宋_GB2312" w:cs="仿宋_GB2312"/>
          <w:sz w:val="32"/>
          <w:szCs w:val="32"/>
        </w:rPr>
        <w:t>活动共有30余场次，受众6万余人次。</w:t>
      </w:r>
      <w:r>
        <w:rPr>
          <w:rFonts w:hint="eastAsia" w:ascii="仿宋_GB2312" w:hAnsi="Calibri" w:eastAsia="仿宋_GB2312" w:cs="Times New Roman"/>
          <w:sz w:val="32"/>
          <w:szCs w:val="32"/>
        </w:rPr>
        <w:t>通过系列中医养生保健咨询和体验、健康大讲堂、中医药文化科普宣传等形式，为广大</w:t>
      </w:r>
      <w:r>
        <w:rPr>
          <w:rFonts w:hint="eastAsia" w:ascii="仿宋_GB2312" w:hAnsi="Calibri" w:eastAsia="仿宋_GB2312" w:cs="Times New Roman"/>
          <w:color w:val="000000"/>
          <w:sz w:val="32"/>
          <w:szCs w:val="32"/>
        </w:rPr>
        <w:t>市民提供集休闲、旅游、中医药养生为一体的健康服务平台，持续激发了人民群众到北宫进行中医养生游园的热情，初步形成了“要养生，到北宫”的中医药健康养生品牌。</w:t>
      </w:r>
    </w:p>
    <w:p w14:paraId="077BA694">
      <w:pPr>
        <w:spacing w:line="360" w:lineRule="auto"/>
        <w:ind w:firstLine="643" w:firstLineChars="200"/>
        <w:rPr>
          <w:rFonts w:ascii="仿宋_GB2312" w:hAnsi="Calibri" w:eastAsia="仿宋_GB2312" w:cs="Times New Roman"/>
          <w:sz w:val="32"/>
          <w:szCs w:val="32"/>
        </w:rPr>
      </w:pP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积极推动丰台区中医健康乡村（社区）建设工作。</w:t>
      </w:r>
      <w:r>
        <w:rPr>
          <w:rFonts w:hint="eastAsia" w:ascii="仿宋_GB2312" w:hAnsi="Calibri" w:eastAsia="仿宋_GB2312" w:cs="Times New Roman"/>
          <w:sz w:val="32"/>
          <w:szCs w:val="32"/>
        </w:rPr>
        <w:t>全面贯彻落实国家和北京市关于深化医药卫生体制改革的精神和要求，充分发挥中医药的优势和作用，在“保基本、强基层、惠民生”的原则指引下，根据北京市中医健康乡村（社区）试点建设工作相关要求，组建了丰台区工作团队，制定《2016年度丰台区中医健康社区建设工作要点》，在方庄地区芳群园三区、右安门街道开阳里第三社区、宛平地区晓月苑社区、西罗园街道洋桥北里社区、新村街道芳菲路社区、王佐镇怪村及长辛店镇辛庄村7家社区开展中医健康社区试点建设工作。完善了社区中医专家工作小组及工作机制，继续完善了中医健康档案，继续推进了相关慢病分层管理，展开了社区名医和家庭中医保健员的培养工作。</w:t>
      </w:r>
    </w:p>
    <w:p w14:paraId="2DB22068">
      <w:pPr>
        <w:spacing w:line="360" w:lineRule="auto"/>
        <w:ind w:firstLine="643" w:firstLineChars="200"/>
        <w:rPr>
          <w:rFonts w:ascii="仿宋_GB2312" w:hAnsi="Calibri" w:eastAsia="仿宋_GB2312" w:cs="Times New Roman"/>
          <w:sz w:val="32"/>
          <w:szCs w:val="32"/>
        </w:rPr>
      </w:pP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积极开展了中医健康养老社区示范工程建设工作。</w:t>
      </w:r>
      <w:r>
        <w:rPr>
          <w:rFonts w:hint="eastAsia" w:ascii="仿宋_GB2312" w:hAnsi="Calibri" w:eastAsia="仿宋_GB2312" w:cs="Times New Roman"/>
          <w:sz w:val="32"/>
          <w:szCs w:val="32"/>
        </w:rPr>
        <w:t>为全面贯彻落实党中央、国务院关于加强医养结合工作的一系列重大决策部署，我委按照北京市中医药健康养老试点工作精神，与区民政局、区老龄办联合制订了《丰台区中医健康社区建设试点工作方案（征求意见稿）》，并组织筹划了丰台区中医药健康养老“身边工程”启动仪式，积极组织推进丰台区中医药健康养老服务体系建设，遴选辖区15家医疗机构作为丰台区中医药健康养老试点建设单位，初步构建由“丰台中西医结合医院、长辛店镇社区卫生服务中心等单位组成的中医养老联合体；培养、培训中医药养老适宜技术专家10名，中医健康养老技术骨干60名。</w:t>
      </w:r>
    </w:p>
    <w:p w14:paraId="259208CE">
      <w:pPr>
        <w:spacing w:line="360" w:lineRule="auto"/>
        <w:rPr>
          <w:rFonts w:hint="eastAsia" w:ascii="方正小标宋简体" w:hAnsi="华文仿宋" w:eastAsia="方正小标宋简体" w:cs="Times New Roman"/>
          <w:sz w:val="32"/>
          <w:szCs w:val="32"/>
        </w:rPr>
      </w:pPr>
      <w:r>
        <w:rPr>
          <w:rFonts w:hint="eastAsia" w:ascii="楷体_GB2312" w:hAnsi="楷体_GB2312" w:eastAsia="楷体_GB2312" w:cs="楷体_GB2312"/>
          <w:sz w:val="32"/>
          <w:szCs w:val="32"/>
        </w:rPr>
        <w:t xml:space="preserve">    四、</w:t>
      </w:r>
      <w:r>
        <w:rPr>
          <w:rFonts w:hint="eastAsia" w:ascii="楷体_GB2312" w:hAnsi="黑体" w:eastAsia="楷体_GB2312" w:cs="Tahoma"/>
          <w:kern w:val="0"/>
          <w:sz w:val="32"/>
          <w:szCs w:val="32"/>
        </w:rPr>
        <w:t>积极应对，卫生应急保障和监督监测工作不断加强</w:t>
      </w:r>
    </w:p>
    <w:p w14:paraId="6E688433">
      <w:pPr>
        <w:spacing w:line="360" w:lineRule="auto"/>
        <w:rPr>
          <w:rFonts w:hint="eastAsia" w:ascii="仿宋_GB2312" w:hAnsi="华文仿宋" w:eastAsia="仿宋_GB2312" w:cs="Times New Roman"/>
          <w:sz w:val="32"/>
          <w:szCs w:val="32"/>
        </w:rPr>
      </w:pPr>
      <w:r>
        <w:rPr>
          <w:rFonts w:hint="eastAsia" w:ascii="楷体_GB2312" w:hAnsi="华文仿宋" w:eastAsia="楷体_GB2312" w:cs="Times New Roman"/>
          <w:sz w:val="32"/>
          <w:szCs w:val="32"/>
        </w:rPr>
        <w:t xml:space="preserve">    </w:t>
      </w:r>
      <w:r>
        <w:rPr>
          <w:rFonts w:hint="eastAsia" w:ascii="仿宋_GB2312" w:hAnsi="华文仿宋" w:eastAsia="仿宋_GB2312" w:cs="Times New Roman"/>
          <w:sz w:val="32"/>
          <w:szCs w:val="32"/>
        </w:rPr>
        <w:t>疾病预防控制工作扎实。2016年，进一步</w:t>
      </w:r>
      <w:r>
        <w:rPr>
          <w:rFonts w:hint="eastAsia" w:ascii="仿宋_GB2312" w:hAnsi="仿宋_GB2312" w:eastAsia="仿宋_GB2312" w:cs="Times New Roman"/>
          <w:bCs/>
          <w:kern w:val="1"/>
          <w:sz w:val="32"/>
          <w:szCs w:val="32"/>
        </w:rPr>
        <w:t>加大了传染病防控力度，认真部署麻疹、疱疹性咽颊炎、寨卡病毒、诺如病毒、埃博拉出血热、人感染H7N9禽流感等重点传染病防控工作，加强了医防联动、医教联动，确保全区疫情平稳，保持甲乙丙类传染病发病率稳中有降的态势；制定了《北京市丰台区人兽共患病疫情防控工作合作计划》，定期例会、通报疫情、信息共享，建立并巩固了人兽共患传染病联防联控机制；</w:t>
      </w:r>
      <w:r>
        <w:rPr>
          <w:rFonts w:hint="eastAsia" w:ascii="仿宋_GB2312" w:hAnsi="华文仿宋" w:eastAsia="仿宋_GB2312" w:cs="Times New Roman"/>
          <w:sz w:val="32"/>
          <w:szCs w:val="32"/>
        </w:rPr>
        <w:t>落实国家免疫规划，确保国家免疫规划疫苗报告接种率99%以上，为0-6岁外来流动儿童查漏补种5.77万人次，为外来务工人员接种流脑、麻疹疫苗1.33万人次,</w:t>
      </w:r>
      <w:r>
        <w:rPr>
          <w:rFonts w:hint="eastAsia" w:ascii="Calibri" w:hAnsi="Calibri" w:eastAsia="宋体" w:cs="Times New Roman"/>
        </w:rPr>
        <w:t xml:space="preserve"> </w:t>
      </w:r>
      <w:r>
        <w:rPr>
          <w:rFonts w:hint="eastAsia" w:ascii="仿宋_GB2312" w:hAnsi="华文仿宋" w:eastAsia="仿宋_GB2312" w:cs="Times New Roman"/>
          <w:sz w:val="32"/>
          <w:szCs w:val="32"/>
        </w:rPr>
        <w:t>顺利完成国家脊灰疫苗转换工作；加强全区接种单位疫苗和冷链管理，实现疫苗安全化、规范化管理，为儿童接种门诊、产科、狂犬病免疫预防门诊安装冷链监控设备55套；推进丰台区免疫预防规范化门诊建设,建成了卢沟桥和南苑两个乡中心计划免疫门诊，花乡中心门诊正在建设当中，取消了5家基本门诊,疑似预防接种异常反应规范处置率100%,强化麻疹防控工作，有效处置了北京南站、京港地铁麻疹爆发疫情。在全区免费开展了癌症早诊早治、脑卒中筛查和窝沟封闭预防龋齿等民生工程，现已在8个街乡镇为4086名居民免费开展了肺癌、大肠癌等早诊早治筛查项目，为6000余名居民免费进行了脑卒中筛查，在全区各学校幼儿园为2万余人次的适龄儿童免费开展了窝沟封闭和孵化泡沫预防龋齿工作；2016年共新创建健康社区3家、健康餐厅4家、健康食堂4家，新培养健康指导员200名，实现了艾滋病初筛、确证及CD4检测的实验室一体化，23家社区卫生服务中心均开展了艾滋病、梅毒快速检测点创建工作；落实肺结核病人社区督导服药工作，逐步完善病人密切接触者肺结核筛查工作，继续强化结核病诊疗工作质量。</w:t>
      </w:r>
    </w:p>
    <w:p w14:paraId="3AA48FAA">
      <w:pPr>
        <w:autoSpaceDE w:val="0"/>
        <w:autoSpaceDN w:val="0"/>
        <w:adjustRightInd w:val="0"/>
        <w:spacing w:line="360" w:lineRule="auto"/>
        <w:ind w:firstLine="636"/>
        <w:rPr>
          <w:rFonts w:hint="eastAsia" w:ascii="仿宋_GB2312" w:hAnsi="华文仿宋" w:eastAsia="仿宋_GB2312" w:cs="Times New Roman"/>
          <w:sz w:val="32"/>
          <w:szCs w:val="32"/>
        </w:rPr>
      </w:pPr>
      <w:r>
        <w:rPr>
          <w:rFonts w:hint="eastAsia" w:ascii="仿宋_GB2312" w:hAnsi="华文仿宋" w:eastAsia="仿宋_GB2312" w:cs="Times New Roman"/>
          <w:sz w:val="32"/>
          <w:szCs w:val="32"/>
        </w:rPr>
        <w:t>开展公共场所健康危害因素主动监测和“嗜肺军团菌经空调通风系统传播风险监测评估”和空气污染（雾霾）人群健康影响监测，在全市首家做到PM2.5成分分析；落实北京市中小学健康月活动，在全区学校开展肥胖控制、爱眼健康等一系列宣传活动，推进《北京市职业健康监护管理系统》的应用，开展重点人群职业病防治教育工作，完成职业病危害因素监测与评价。</w:t>
      </w:r>
    </w:p>
    <w:p w14:paraId="56283F67">
      <w:pPr>
        <w:autoSpaceDE w:val="0"/>
        <w:autoSpaceDN w:val="0"/>
        <w:adjustRightInd w:val="0"/>
        <w:spacing w:line="360" w:lineRule="auto"/>
        <w:ind w:firstLine="636"/>
        <w:rPr>
          <w:rFonts w:ascii="仿宋_GB2312" w:hAnsi="Calibri" w:eastAsia="仿宋_GB2312" w:cs="Times New Roman"/>
          <w:sz w:val="32"/>
          <w:szCs w:val="32"/>
        </w:rPr>
      </w:pPr>
      <w:r>
        <w:rPr>
          <w:rFonts w:hint="eastAsia" w:ascii="仿宋_GB2312" w:hAnsi="Calibri" w:eastAsia="仿宋_GB2312" w:cs="Times New Roman"/>
          <w:sz w:val="32"/>
          <w:szCs w:val="32"/>
        </w:rPr>
        <w:t>卫生监督工作全面提升。日常监督覆盖率已达97.45%，监督频次4.02次,</w:t>
      </w:r>
      <w:r>
        <w:rPr>
          <w:rFonts w:hint="eastAsia" w:ascii="Calibri" w:hAnsi="Calibri" w:eastAsia="宋体" w:cs="Times New Roman"/>
        </w:rPr>
        <w:t xml:space="preserve"> </w:t>
      </w:r>
      <w:r>
        <w:rPr>
          <w:rFonts w:hint="eastAsia" w:ascii="仿宋_GB2312" w:hAnsi="Calibri" w:eastAsia="仿宋_GB2312" w:cs="Times New Roman"/>
          <w:sz w:val="32"/>
          <w:szCs w:val="32"/>
        </w:rPr>
        <w:t>监督频次18714户次；受理各类卫生监督投诉1472件，100%结案，已结案的行政处罚375起，其中一般程序行政处罚213起，简易程序行政处罚162起。</w:t>
      </w:r>
      <w:r>
        <w:rPr>
          <w:rFonts w:hint="eastAsia" w:ascii="仿宋_GB2312" w:hAnsi="Calibri" w:eastAsia="仿宋_GB2312" w:cs="Times New Roman"/>
          <w:color w:val="000000"/>
          <w:sz w:val="32"/>
          <w:szCs w:val="32"/>
        </w:rPr>
        <w:t>开展控烟卫生监督执法，共监督检查5949户，对275户不合格单位下达了责令改正通知书</w:t>
      </w:r>
      <w:r>
        <w:rPr>
          <w:rFonts w:hint="eastAsia" w:ascii="仿宋_GB2312" w:hAnsi="Calibri" w:eastAsia="仿宋_GB2312" w:cs="Times New Roman"/>
          <w:sz w:val="32"/>
          <w:szCs w:val="32"/>
        </w:rPr>
        <w:t>；</w:t>
      </w:r>
      <w:r>
        <w:rPr>
          <w:rFonts w:hint="eastAsia" w:ascii="仿宋_GB2312" w:hAnsi="Calibri" w:eastAsia="仿宋_GB2312" w:cs="Times New Roman"/>
          <w:color w:val="000000"/>
          <w:sz w:val="32"/>
          <w:szCs w:val="32"/>
        </w:rPr>
        <w:t>开展饮用水卫生宣传周活动</w:t>
      </w:r>
      <w:r>
        <w:rPr>
          <w:rFonts w:hint="eastAsia" w:ascii="仿宋_GB2312" w:hAnsi="Calibri" w:eastAsia="仿宋_GB2312" w:cs="Times New Roman"/>
          <w:sz w:val="32"/>
          <w:szCs w:val="32"/>
        </w:rPr>
        <w:t>；</w:t>
      </w:r>
      <w:r>
        <w:rPr>
          <w:rFonts w:hint="eastAsia" w:ascii="仿宋_GB2312" w:hAnsi="华文仿宋" w:eastAsia="仿宋_GB2312" w:cs="Times New Roman"/>
          <w:color w:val="000000"/>
          <w:sz w:val="32"/>
          <w:szCs w:val="32"/>
        </w:rPr>
        <w:t>完善基层打击非法行医工作机制，</w:t>
      </w:r>
      <w:r>
        <w:rPr>
          <w:rFonts w:hint="eastAsia" w:ascii="仿宋_GB2312" w:hAnsi="Calibri" w:eastAsia="仿宋_GB2312" w:cs="Times New Roman"/>
          <w:sz w:val="32"/>
          <w:szCs w:val="32"/>
        </w:rPr>
        <w:t>联合多个部门开展打击非法行医联合执法21次，出动卫生监督员897人次，立案处罚非法行医类案件25起，罚款人民币共计15.5万元整，没收药品26箱，没收器械、工具157（台）件，移送公安部门1件，接到公安部门移送案件5件，追究刑事责任3件，追究刑事责任人3人。</w:t>
      </w:r>
    </w:p>
    <w:p w14:paraId="611539AB">
      <w:pPr>
        <w:autoSpaceDE w:val="0"/>
        <w:autoSpaceDN w:val="0"/>
        <w:adjustRightInd w:val="0"/>
        <w:spacing w:line="360" w:lineRule="auto"/>
        <w:ind w:firstLine="636"/>
        <w:rPr>
          <w:rFonts w:ascii="仿宋_GB2312" w:hAnsi="Calibri" w:eastAsia="仿宋_GB2312" w:cs="Times New Roman"/>
          <w:sz w:val="32"/>
          <w:szCs w:val="32"/>
        </w:rPr>
      </w:pPr>
      <w:r>
        <w:rPr>
          <w:rFonts w:hint="eastAsia" w:ascii="仿宋_GB2312" w:hAnsi="Calibri" w:eastAsia="仿宋_GB2312" w:cs="Times New Roman"/>
          <w:sz w:val="32"/>
          <w:szCs w:val="32"/>
        </w:rPr>
        <w:t>开展 “美丽盾牌”专项行动，对全区生活美容机构及医疗美容机构进行集中检查，严厉打击生活美容场所或个人非法开展医疗美容的行为；开展双随机抽查工作，对160户校与托幼机构、780户公共场所、300户生活饮用水随机匹配单位的监督检查，未发现违法违规行为；开展“暖心扫码”重点工作，已将545家医疗机构信息、9980名医师信息、10450名护士信息导入“暖心扫码”信息系统中，实现了电子识别码卫生监督全覆盖。山东疫苗事件出现后，出动卫生监督员434人次，对辖区内所有疫苗接种单位、358家未开展疫苗接种单位开展了全面监督检查；落实“先照后证”，加强事中事后监管工作。</w:t>
      </w:r>
    </w:p>
    <w:p w14:paraId="06523A81">
      <w:pPr>
        <w:autoSpaceDE w:val="0"/>
        <w:autoSpaceDN w:val="0"/>
        <w:adjustRightInd w:val="0"/>
        <w:spacing w:line="360" w:lineRule="auto"/>
        <w:ind w:firstLine="636"/>
        <w:rPr>
          <w:rFonts w:ascii="仿宋_GB2312" w:hAnsi="Calibri" w:eastAsia="仿宋_GB2312" w:cs="Times New Roman"/>
          <w:sz w:val="32"/>
          <w:szCs w:val="32"/>
        </w:rPr>
      </w:pPr>
      <w:r>
        <w:rPr>
          <w:rFonts w:hint="eastAsia" w:ascii="仿宋_GB2312" w:hAnsi="Calibri" w:eastAsia="仿宋_GB2312" w:cs="Times New Roman"/>
          <w:sz w:val="32"/>
          <w:szCs w:val="32"/>
        </w:rPr>
        <w:t>努力提升精神卫生工作。以落实精神卫生通报制度和领导约谈制度为抓手，大力推进我区精神卫生服务工作的不断发展。2016年，我区被国家确定为“社会心理服务体系建设”联系点，正在积极筹建精神家园APP,以“互联网+”的形式实现对重性精神障碍者和家属以及普通居民的心理卫生知识宣传、心理在线筛查和干预等工作；联合了区公安分局、区民政局六部门共同印发，并已于7月1日正式实施了《丰台区严重精神障碍患者监护人申领看护管理补贴实施方案（试行）》，为全区21个街乡镇为严重精神障碍患者监护人每月发放200元补贴。为2713名重性精神障碍患者开展了免费服药，为2514名患者开展了免费体检服务，在管严重精神障碍患者病情稳定率达99.82%，未发生精神病人肇事肇祸事件。</w:t>
      </w:r>
    </w:p>
    <w:p w14:paraId="1B9B1120">
      <w:pPr>
        <w:spacing w:line="560" w:lineRule="exact"/>
        <w:ind w:firstLine="480" w:firstLineChars="150"/>
        <w:rPr>
          <w:rFonts w:hint="eastAsia" w:ascii="仿宋_GB2312" w:hAnsi="宋体" w:eastAsia="仿宋_GB2312" w:cs="Times New Roman"/>
          <w:sz w:val="32"/>
          <w:szCs w:val="32"/>
        </w:rPr>
      </w:pPr>
      <w:r>
        <w:rPr>
          <w:rFonts w:hint="eastAsia" w:ascii="仿宋_GB2312" w:hAnsi="仿宋_GB2312" w:eastAsia="仿宋_GB2312" w:cs="仿宋_GB2312"/>
          <w:bCs/>
          <w:sz w:val="32"/>
          <w:szCs w:val="32"/>
        </w:rPr>
        <w:t xml:space="preserve"> 开展专项督导检查，规范医疗机构执业行为。</w:t>
      </w:r>
      <w:r>
        <w:rPr>
          <w:rFonts w:hint="eastAsia" w:ascii="仿宋_GB2312" w:hAnsi="宋体" w:eastAsia="仿宋_GB2312" w:cs="Times New Roman"/>
          <w:sz w:val="32"/>
          <w:szCs w:val="32"/>
        </w:rPr>
        <w:t>根据《北京市卫计委、北京市中医药管理局关于对医疗机构出租承包科室等工作进行专项整治的紧急通知》要求，我委在辖区内开展了关于医疗机构“出租承包科室”专项检查活动。严禁医疗机构不得以任何形式将临床科室出租或承包给个人或组织、不得以任何形式开展免疫细胞治疗技术、不得违规发布医疗广告，严格按照法律法规及各项规章制度依法执业，保障了群众的就医安全。</w:t>
      </w:r>
    </w:p>
    <w:p w14:paraId="26ECBD30">
      <w:pPr>
        <w:spacing w:line="560" w:lineRule="exact"/>
        <w:ind w:firstLine="600"/>
        <w:rPr>
          <w:rFonts w:ascii="仿宋_GB2312" w:hAnsi="Times New Roman" w:eastAsia="仿宋_GB2312" w:cs="Times New Roman"/>
          <w:sz w:val="32"/>
          <w:szCs w:val="32"/>
        </w:rPr>
      </w:pPr>
      <w:r>
        <w:rPr>
          <w:rFonts w:hint="eastAsia" w:ascii="仿宋_GB2312" w:eastAsia="仿宋_GB2312"/>
          <w:sz w:val="32"/>
          <w:szCs w:val="32"/>
        </w:rPr>
        <w:t>根据《关于开展县医院和基层医疗机构医院感染管理专项督导工作的通知》《医院感染管理专项督导工作方案》及市卫计委相关工作要求，对辖区区属医院、基层医疗卫生机构及部分民营医疗机构开展了医院感染管理专项督查，共督查医疗机构178家，其中二、三级医疗机构5家，社区卫生服务中心16家，社区卫生服务站103家，各级民营医疗机构17家。通过督查，促进了医院感染管理相关法规的落实。</w:t>
      </w:r>
    </w:p>
    <w:p w14:paraId="632295A1">
      <w:pPr>
        <w:ind w:firstLine="643" w:firstLineChars="200"/>
        <w:rPr>
          <w:rFonts w:ascii="仿宋_GB2312" w:eastAsia="仿宋_GB2312"/>
          <w:b/>
          <w:sz w:val="32"/>
          <w:szCs w:val="32"/>
        </w:rPr>
      </w:pPr>
      <w:r>
        <w:rPr>
          <w:rFonts w:hint="eastAsia" w:ascii="仿宋_GB2312" w:eastAsia="仿宋_GB2312"/>
          <w:b/>
          <w:sz w:val="32"/>
          <w:szCs w:val="32"/>
        </w:rPr>
        <w:t>（二）公开主体部分</w:t>
      </w:r>
    </w:p>
    <w:p w14:paraId="40D32E5C">
      <w:pPr>
        <w:ind w:firstLine="640" w:firstLineChars="200"/>
        <w:rPr>
          <w:rFonts w:ascii="仿宋_GB2312" w:eastAsia="仿宋_GB2312"/>
          <w:sz w:val="32"/>
          <w:szCs w:val="32"/>
        </w:rPr>
      </w:pPr>
      <w:r>
        <w:rPr>
          <w:rFonts w:hint="eastAsia" w:ascii="仿宋_GB2312" w:eastAsia="仿宋_GB2312"/>
          <w:sz w:val="32"/>
          <w:szCs w:val="32"/>
        </w:rPr>
        <w:t>我委为第28项、第41项的公开主体。</w:t>
      </w:r>
    </w:p>
    <w:p w14:paraId="00A65658">
      <w:pPr>
        <w:ind w:firstLine="640" w:firstLineChars="200"/>
        <w:rPr>
          <w:rFonts w:ascii="仿宋_GB2312" w:eastAsia="仿宋_GB2312"/>
          <w:sz w:val="32"/>
          <w:szCs w:val="32"/>
        </w:rPr>
      </w:pPr>
      <w:r>
        <w:rPr>
          <w:rFonts w:hint="eastAsia" w:ascii="仿宋_GB2312" w:eastAsia="仿宋_GB2312"/>
          <w:sz w:val="32"/>
          <w:szCs w:val="32"/>
        </w:rPr>
        <w:t>其中第28项“</w:t>
      </w:r>
      <w:r>
        <w:rPr>
          <w:rFonts w:ascii="仿宋_GB2312" w:eastAsia="仿宋_GB2312"/>
          <w:sz w:val="32"/>
          <w:szCs w:val="32"/>
        </w:rPr>
        <w:t>持续发布本区空气质量监测信息。推动城市集中式生活饮用水水源水质监测信息公开，定期向社会公开城市饮用水水源地、供水厂出厂水和用户水龙头水质信息</w:t>
      </w:r>
      <w:r>
        <w:rPr>
          <w:rFonts w:hint="eastAsia" w:ascii="仿宋_GB2312" w:eastAsia="仿宋_GB2312"/>
          <w:sz w:val="32"/>
          <w:szCs w:val="32"/>
        </w:rPr>
        <w:t>”</w:t>
      </w:r>
      <w:r>
        <w:rPr>
          <w:rFonts w:ascii="仿宋_GB2312" w:eastAsia="仿宋_GB2312"/>
          <w:sz w:val="32"/>
          <w:szCs w:val="32"/>
        </w:rPr>
        <w:t>。</w:t>
      </w:r>
    </w:p>
    <w:p w14:paraId="084B160F">
      <w:pPr>
        <w:widowControl/>
        <w:spacing w:after="240" w:line="560" w:lineRule="exact"/>
        <w:ind w:firstLine="640" w:firstLineChars="200"/>
        <w:jc w:val="left"/>
        <w:rPr>
          <w:rFonts w:ascii="仿宋_GB2312" w:eastAsia="仿宋_GB2312"/>
          <w:sz w:val="32"/>
          <w:szCs w:val="32"/>
        </w:rPr>
      </w:pPr>
      <w:r>
        <w:rPr>
          <w:rFonts w:hint="eastAsia" w:ascii="仿宋_GB2312" w:eastAsia="仿宋_GB2312"/>
          <w:sz w:val="32"/>
          <w:szCs w:val="32"/>
        </w:rPr>
        <w:t>今年，我委开展辖区生活饮用水监测480余件。监测点覆盖辖区16个街道办事处及5个街乡，包括城市市政末梢水、二次供水、自建供水和农村自备井水、饮水安全工程桶装水厂水。依据北京市卫计委要求，自2016年6月开始进行城市饮水监测信息公开，期间监测发现1件城市末梢水浑浊度超标，已及时向区政府汇报。饮水监测结果及卫生风险提示定期在网站公告。</w:t>
      </w:r>
    </w:p>
    <w:p w14:paraId="4399F7BF">
      <w:pPr>
        <w:widowControl/>
        <w:spacing w:after="240" w:line="500" w:lineRule="exact"/>
        <w:ind w:firstLine="640" w:firstLineChars="200"/>
        <w:jc w:val="left"/>
        <w:rPr>
          <w:rFonts w:ascii="仿宋_GB2312" w:eastAsia="仿宋_GB2312"/>
          <w:sz w:val="32"/>
          <w:szCs w:val="32"/>
        </w:rPr>
      </w:pPr>
      <w:r>
        <w:rPr>
          <w:rFonts w:hint="eastAsia" w:ascii="仿宋_GB2312" w:eastAsia="仿宋_GB2312"/>
          <w:sz w:val="32"/>
          <w:szCs w:val="32"/>
        </w:rPr>
        <w:t>其中第41项“推进重大决策事项民意调查工作。制定重大决策事项民意调查工作制度，研究梳理本区医疗卫生、资源开发、环境保护、社会保障等领域重大民生决策事项，根据具体内容和职责分工，明确民意调查工作的主责单位和责任单位、征集民意的方式和途径、民意采纳情况反馈方式等。”</w:t>
      </w:r>
    </w:p>
    <w:p w14:paraId="04C22582">
      <w:pPr>
        <w:widowControl/>
        <w:spacing w:after="240" w:line="500" w:lineRule="exact"/>
        <w:ind w:firstLine="640" w:firstLineChars="200"/>
        <w:jc w:val="left"/>
        <w:rPr>
          <w:rFonts w:ascii="仿宋_GB2312" w:eastAsia="仿宋_GB2312"/>
          <w:sz w:val="32"/>
          <w:szCs w:val="32"/>
        </w:rPr>
      </w:pPr>
      <w:r>
        <w:rPr>
          <w:rFonts w:hint="eastAsia" w:ascii="仿宋_GB2312" w:eastAsia="仿宋_GB2312"/>
          <w:sz w:val="32"/>
          <w:szCs w:val="32"/>
        </w:rPr>
        <w:t>涉及民生的重大事项，我委一方会面积极听取人大代表、政协委员的提案建议；一方面会及时在网站公布相关信息，并鼓励群众留下措施建议；另一方面，我委也会通过政务内网听取相关委办局的意见。对各种意见建议，我委会统筹归纳，并将最终实施方案以信件、网站公告等方式及时公布</w:t>
      </w:r>
    </w:p>
    <w:p w14:paraId="27259032">
      <w:pPr>
        <w:spacing w:line="560" w:lineRule="exact"/>
        <w:ind w:firstLine="645"/>
        <w:jc w:val="left"/>
        <w:rPr>
          <w:rFonts w:ascii="仿宋_GB2312" w:eastAsia="仿宋_GB2312"/>
          <w:sz w:val="32"/>
          <w:szCs w:val="32"/>
        </w:rPr>
      </w:pPr>
      <w:r>
        <w:rPr>
          <w:rFonts w:hint="eastAsia" w:ascii="仿宋_GB2312" w:eastAsia="仿宋_GB2312"/>
          <w:sz w:val="32"/>
          <w:szCs w:val="32"/>
        </w:rPr>
        <w:t>以上为我委本年度信息公开工作落实情况，尽管取</w:t>
      </w:r>
      <w:bookmarkStart w:id="0" w:name="_GoBack"/>
      <w:bookmarkEnd w:id="0"/>
      <w:r>
        <w:rPr>
          <w:rFonts w:hint="eastAsia" w:ascii="仿宋_GB2312" w:eastAsia="仿宋_GB2312"/>
          <w:sz w:val="32"/>
          <w:szCs w:val="32"/>
        </w:rPr>
        <w:t>得了一定的工作成绩，但信息公开力度，尤其是主动公开力度还很不够。我委决心在今后的工作中一要积极进取，加大公开范围和力度；二要注重时效，进一步提升公开信息工作的“新鲜度”；三要开拓创新，努力丰富公开形式与发布途径。</w:t>
      </w:r>
    </w:p>
    <w:p w14:paraId="671988D5">
      <w:pPr>
        <w:ind w:firstLine="645"/>
        <w:rPr>
          <w:rFonts w:ascii="仿宋_GB2312" w:eastAsia="仿宋_GB2312"/>
          <w:sz w:val="32"/>
          <w:szCs w:val="32"/>
        </w:rPr>
      </w:pPr>
      <w:r>
        <w:rPr>
          <w:rFonts w:hint="eastAsia" w:ascii="仿宋_GB2312" w:eastAsia="仿宋_GB2312"/>
          <w:sz w:val="32"/>
          <w:szCs w:val="32"/>
        </w:rPr>
        <w:t>工作不足之处，恳请领导批评指正。</w:t>
      </w:r>
    </w:p>
    <w:p w14:paraId="59A335D5">
      <w:pPr>
        <w:wordWrap w:val="0"/>
        <w:jc w:val="right"/>
        <w:rPr>
          <w:rFonts w:ascii="仿宋_GB2312" w:eastAsia="仿宋_GB2312"/>
          <w:sz w:val="32"/>
          <w:szCs w:val="32"/>
        </w:rPr>
      </w:pPr>
      <w:r>
        <w:rPr>
          <w:rFonts w:hint="eastAsia" w:ascii="仿宋_GB2312" w:eastAsia="仿宋_GB2312"/>
          <w:sz w:val="32"/>
          <w:szCs w:val="32"/>
        </w:rPr>
        <w:t xml:space="preserve">丰台区卫生计生委    </w:t>
      </w:r>
    </w:p>
    <w:p w14:paraId="65552024">
      <w:pPr>
        <w:wordWrap w:val="0"/>
        <w:jc w:val="right"/>
        <w:rPr>
          <w:rFonts w:ascii="仿宋_GB2312" w:eastAsia="仿宋_GB2312"/>
          <w:sz w:val="32"/>
          <w:szCs w:val="32"/>
        </w:rPr>
      </w:pPr>
      <w:r>
        <w:rPr>
          <w:rFonts w:hint="eastAsia" w:ascii="仿宋_GB2312" w:eastAsia="仿宋_GB2312"/>
          <w:sz w:val="32"/>
          <w:szCs w:val="32"/>
        </w:rPr>
        <w:t xml:space="preserve">2016年12月5日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Neue">
    <w:altName w:val="Times New Roman"/>
    <w:panose1 w:val="00000000000000000000"/>
    <w:charset w:val="00"/>
    <w:family w:val="auto"/>
    <w:pitch w:val="default"/>
    <w:sig w:usb0="00000000" w:usb1="00000000" w:usb2="00000010" w:usb3="00000000" w:csb0="00000001" w:csb1="00000000"/>
  </w:font>
  <w:font w:name="Courier Std">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B6+CAJSymbolA">
    <w:altName w:val="Times New Roman"/>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3756B2"/>
    <w:multiLevelType w:val="multilevel"/>
    <w:tmpl w:val="7A3756B2"/>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CB1"/>
    <w:rsid w:val="0000134D"/>
    <w:rsid w:val="00006882"/>
    <w:rsid w:val="0001019C"/>
    <w:rsid w:val="00011A4A"/>
    <w:rsid w:val="00011F16"/>
    <w:rsid w:val="000137CE"/>
    <w:rsid w:val="000149CE"/>
    <w:rsid w:val="00015573"/>
    <w:rsid w:val="000213A3"/>
    <w:rsid w:val="00024D32"/>
    <w:rsid w:val="000272EE"/>
    <w:rsid w:val="00030EAA"/>
    <w:rsid w:val="00032406"/>
    <w:rsid w:val="00040D92"/>
    <w:rsid w:val="00045597"/>
    <w:rsid w:val="000468BD"/>
    <w:rsid w:val="000542F5"/>
    <w:rsid w:val="00060B58"/>
    <w:rsid w:val="00065371"/>
    <w:rsid w:val="00065E21"/>
    <w:rsid w:val="0007018C"/>
    <w:rsid w:val="0007094E"/>
    <w:rsid w:val="00077F0F"/>
    <w:rsid w:val="000820D8"/>
    <w:rsid w:val="000832A4"/>
    <w:rsid w:val="000852F0"/>
    <w:rsid w:val="000860F4"/>
    <w:rsid w:val="0008634F"/>
    <w:rsid w:val="000924BD"/>
    <w:rsid w:val="00092BD3"/>
    <w:rsid w:val="00093614"/>
    <w:rsid w:val="00093973"/>
    <w:rsid w:val="00095425"/>
    <w:rsid w:val="000A3BFA"/>
    <w:rsid w:val="000A6E75"/>
    <w:rsid w:val="000A74BB"/>
    <w:rsid w:val="000B3CAD"/>
    <w:rsid w:val="000B5286"/>
    <w:rsid w:val="000B64B1"/>
    <w:rsid w:val="000C1B11"/>
    <w:rsid w:val="000D2502"/>
    <w:rsid w:val="000D5E6D"/>
    <w:rsid w:val="000D6734"/>
    <w:rsid w:val="000E43D4"/>
    <w:rsid w:val="000E44D0"/>
    <w:rsid w:val="000E560D"/>
    <w:rsid w:val="000E7185"/>
    <w:rsid w:val="000F2F91"/>
    <w:rsid w:val="000F4FBF"/>
    <w:rsid w:val="000F557B"/>
    <w:rsid w:val="000F7D3F"/>
    <w:rsid w:val="001002FE"/>
    <w:rsid w:val="00101C5D"/>
    <w:rsid w:val="0010602F"/>
    <w:rsid w:val="001076E8"/>
    <w:rsid w:val="00114E0C"/>
    <w:rsid w:val="00114FBF"/>
    <w:rsid w:val="00117ABF"/>
    <w:rsid w:val="00123A05"/>
    <w:rsid w:val="001243F6"/>
    <w:rsid w:val="00127562"/>
    <w:rsid w:val="001318E5"/>
    <w:rsid w:val="0013222D"/>
    <w:rsid w:val="00135775"/>
    <w:rsid w:val="00136E39"/>
    <w:rsid w:val="0014011F"/>
    <w:rsid w:val="001407B7"/>
    <w:rsid w:val="00142059"/>
    <w:rsid w:val="001546EB"/>
    <w:rsid w:val="00157125"/>
    <w:rsid w:val="00160A18"/>
    <w:rsid w:val="00160B37"/>
    <w:rsid w:val="00163625"/>
    <w:rsid w:val="0016364A"/>
    <w:rsid w:val="00165773"/>
    <w:rsid w:val="00166A32"/>
    <w:rsid w:val="001676CC"/>
    <w:rsid w:val="00167F08"/>
    <w:rsid w:val="00170E14"/>
    <w:rsid w:val="001750E2"/>
    <w:rsid w:val="00183281"/>
    <w:rsid w:val="00184A84"/>
    <w:rsid w:val="00191298"/>
    <w:rsid w:val="00191D43"/>
    <w:rsid w:val="00194C3A"/>
    <w:rsid w:val="001976C0"/>
    <w:rsid w:val="001B01B8"/>
    <w:rsid w:val="001B2B31"/>
    <w:rsid w:val="001B3184"/>
    <w:rsid w:val="001B5063"/>
    <w:rsid w:val="001B6586"/>
    <w:rsid w:val="001B6F7D"/>
    <w:rsid w:val="001C4C92"/>
    <w:rsid w:val="001D47D6"/>
    <w:rsid w:val="001D4E29"/>
    <w:rsid w:val="001F0CBF"/>
    <w:rsid w:val="001F522D"/>
    <w:rsid w:val="001F54C4"/>
    <w:rsid w:val="00202312"/>
    <w:rsid w:val="00203038"/>
    <w:rsid w:val="00207737"/>
    <w:rsid w:val="0021042E"/>
    <w:rsid w:val="0021067D"/>
    <w:rsid w:val="00216122"/>
    <w:rsid w:val="00216B4D"/>
    <w:rsid w:val="002414BB"/>
    <w:rsid w:val="00242EEF"/>
    <w:rsid w:val="0024723A"/>
    <w:rsid w:val="00251308"/>
    <w:rsid w:val="00252B80"/>
    <w:rsid w:val="0025536E"/>
    <w:rsid w:val="00262832"/>
    <w:rsid w:val="00263813"/>
    <w:rsid w:val="00270858"/>
    <w:rsid w:val="00272679"/>
    <w:rsid w:val="00275059"/>
    <w:rsid w:val="002754EF"/>
    <w:rsid w:val="00282B45"/>
    <w:rsid w:val="00284061"/>
    <w:rsid w:val="0028430F"/>
    <w:rsid w:val="002852C7"/>
    <w:rsid w:val="0029127A"/>
    <w:rsid w:val="00292347"/>
    <w:rsid w:val="00292392"/>
    <w:rsid w:val="00292A81"/>
    <w:rsid w:val="002A475C"/>
    <w:rsid w:val="002A67E4"/>
    <w:rsid w:val="002A6853"/>
    <w:rsid w:val="002B7672"/>
    <w:rsid w:val="002C17D8"/>
    <w:rsid w:val="002D4AD1"/>
    <w:rsid w:val="002D735E"/>
    <w:rsid w:val="002D7D59"/>
    <w:rsid w:val="002E5852"/>
    <w:rsid w:val="002E5DD3"/>
    <w:rsid w:val="002E614E"/>
    <w:rsid w:val="002E6677"/>
    <w:rsid w:val="002F05D2"/>
    <w:rsid w:val="002F5C78"/>
    <w:rsid w:val="002F79B1"/>
    <w:rsid w:val="00301A08"/>
    <w:rsid w:val="003037B8"/>
    <w:rsid w:val="00304501"/>
    <w:rsid w:val="00311D08"/>
    <w:rsid w:val="00317140"/>
    <w:rsid w:val="00320531"/>
    <w:rsid w:val="00323A0C"/>
    <w:rsid w:val="00324975"/>
    <w:rsid w:val="00330291"/>
    <w:rsid w:val="00332DDA"/>
    <w:rsid w:val="003339FD"/>
    <w:rsid w:val="00335CE7"/>
    <w:rsid w:val="00340C89"/>
    <w:rsid w:val="00345E91"/>
    <w:rsid w:val="0035237A"/>
    <w:rsid w:val="00355FE8"/>
    <w:rsid w:val="00357656"/>
    <w:rsid w:val="003615B3"/>
    <w:rsid w:val="00364AA6"/>
    <w:rsid w:val="00365094"/>
    <w:rsid w:val="00366C00"/>
    <w:rsid w:val="00370DAA"/>
    <w:rsid w:val="003720E0"/>
    <w:rsid w:val="003733A5"/>
    <w:rsid w:val="003765A1"/>
    <w:rsid w:val="003767DC"/>
    <w:rsid w:val="003822C5"/>
    <w:rsid w:val="00382F35"/>
    <w:rsid w:val="0038502D"/>
    <w:rsid w:val="00385EC3"/>
    <w:rsid w:val="003922F0"/>
    <w:rsid w:val="003A09FC"/>
    <w:rsid w:val="003A3622"/>
    <w:rsid w:val="003A612F"/>
    <w:rsid w:val="003B1092"/>
    <w:rsid w:val="003C1702"/>
    <w:rsid w:val="003C1CF4"/>
    <w:rsid w:val="003D0839"/>
    <w:rsid w:val="003D2F29"/>
    <w:rsid w:val="003D32CE"/>
    <w:rsid w:val="003D34A2"/>
    <w:rsid w:val="003D35B7"/>
    <w:rsid w:val="003E233A"/>
    <w:rsid w:val="003E28B2"/>
    <w:rsid w:val="003E2EF5"/>
    <w:rsid w:val="003E39D5"/>
    <w:rsid w:val="003E4656"/>
    <w:rsid w:val="003E7BC1"/>
    <w:rsid w:val="00400E2B"/>
    <w:rsid w:val="00401D32"/>
    <w:rsid w:val="0040604A"/>
    <w:rsid w:val="0041445B"/>
    <w:rsid w:val="004147D5"/>
    <w:rsid w:val="004245F5"/>
    <w:rsid w:val="00427235"/>
    <w:rsid w:val="00432B00"/>
    <w:rsid w:val="00437BA7"/>
    <w:rsid w:val="00437D1F"/>
    <w:rsid w:val="00437D57"/>
    <w:rsid w:val="004420D3"/>
    <w:rsid w:val="004436A5"/>
    <w:rsid w:val="004533E1"/>
    <w:rsid w:val="00457DF6"/>
    <w:rsid w:val="00457F49"/>
    <w:rsid w:val="00463D6B"/>
    <w:rsid w:val="0046550B"/>
    <w:rsid w:val="0046582C"/>
    <w:rsid w:val="00465BF6"/>
    <w:rsid w:val="0046784E"/>
    <w:rsid w:val="00467C46"/>
    <w:rsid w:val="00470C54"/>
    <w:rsid w:val="00471EE4"/>
    <w:rsid w:val="004727C0"/>
    <w:rsid w:val="00472CB1"/>
    <w:rsid w:val="00482B24"/>
    <w:rsid w:val="00486A55"/>
    <w:rsid w:val="00490718"/>
    <w:rsid w:val="00492ED0"/>
    <w:rsid w:val="00495ACB"/>
    <w:rsid w:val="00495E4A"/>
    <w:rsid w:val="00496464"/>
    <w:rsid w:val="004A16CF"/>
    <w:rsid w:val="004B1711"/>
    <w:rsid w:val="004B20E1"/>
    <w:rsid w:val="004B31B2"/>
    <w:rsid w:val="004B74EB"/>
    <w:rsid w:val="004C0385"/>
    <w:rsid w:val="004C0C8E"/>
    <w:rsid w:val="004C3550"/>
    <w:rsid w:val="004C4C7E"/>
    <w:rsid w:val="004C6D67"/>
    <w:rsid w:val="004D4CEE"/>
    <w:rsid w:val="004D5200"/>
    <w:rsid w:val="004D5478"/>
    <w:rsid w:val="004E368B"/>
    <w:rsid w:val="004E789E"/>
    <w:rsid w:val="004F195E"/>
    <w:rsid w:val="004F5E2A"/>
    <w:rsid w:val="004F7E54"/>
    <w:rsid w:val="005017B5"/>
    <w:rsid w:val="00503E09"/>
    <w:rsid w:val="00505B8B"/>
    <w:rsid w:val="00520092"/>
    <w:rsid w:val="00521CFC"/>
    <w:rsid w:val="00524AF0"/>
    <w:rsid w:val="00524CBC"/>
    <w:rsid w:val="0052513C"/>
    <w:rsid w:val="00525C09"/>
    <w:rsid w:val="00531C7B"/>
    <w:rsid w:val="0053634A"/>
    <w:rsid w:val="00537A45"/>
    <w:rsid w:val="00545A76"/>
    <w:rsid w:val="0055140C"/>
    <w:rsid w:val="0055779F"/>
    <w:rsid w:val="00567E87"/>
    <w:rsid w:val="00571203"/>
    <w:rsid w:val="005772C9"/>
    <w:rsid w:val="005856A9"/>
    <w:rsid w:val="00585830"/>
    <w:rsid w:val="005879E3"/>
    <w:rsid w:val="005900E0"/>
    <w:rsid w:val="00592591"/>
    <w:rsid w:val="0059355F"/>
    <w:rsid w:val="00597223"/>
    <w:rsid w:val="005A06EC"/>
    <w:rsid w:val="005A0E9B"/>
    <w:rsid w:val="005B0B8B"/>
    <w:rsid w:val="005B1755"/>
    <w:rsid w:val="005B5BE8"/>
    <w:rsid w:val="005B78A6"/>
    <w:rsid w:val="005B7BB4"/>
    <w:rsid w:val="005C0E0D"/>
    <w:rsid w:val="005C283C"/>
    <w:rsid w:val="005C2E8D"/>
    <w:rsid w:val="005C31F6"/>
    <w:rsid w:val="005C42F9"/>
    <w:rsid w:val="005C622C"/>
    <w:rsid w:val="005D0AA4"/>
    <w:rsid w:val="005D13E6"/>
    <w:rsid w:val="005D1E84"/>
    <w:rsid w:val="005E3F82"/>
    <w:rsid w:val="005F132B"/>
    <w:rsid w:val="005F15B5"/>
    <w:rsid w:val="005F1845"/>
    <w:rsid w:val="005F2CB9"/>
    <w:rsid w:val="005F3809"/>
    <w:rsid w:val="005F6FB9"/>
    <w:rsid w:val="00600FFD"/>
    <w:rsid w:val="00603A9F"/>
    <w:rsid w:val="006079FE"/>
    <w:rsid w:val="00610292"/>
    <w:rsid w:val="00611217"/>
    <w:rsid w:val="0061330F"/>
    <w:rsid w:val="00613874"/>
    <w:rsid w:val="0061619A"/>
    <w:rsid w:val="00622F59"/>
    <w:rsid w:val="00626123"/>
    <w:rsid w:val="006277BA"/>
    <w:rsid w:val="00630BD8"/>
    <w:rsid w:val="00631518"/>
    <w:rsid w:val="00633427"/>
    <w:rsid w:val="00633A4D"/>
    <w:rsid w:val="0063488E"/>
    <w:rsid w:val="006368B6"/>
    <w:rsid w:val="00637F08"/>
    <w:rsid w:val="00643508"/>
    <w:rsid w:val="006515EF"/>
    <w:rsid w:val="0065698D"/>
    <w:rsid w:val="00657B43"/>
    <w:rsid w:val="00660895"/>
    <w:rsid w:val="00666F46"/>
    <w:rsid w:val="006676E3"/>
    <w:rsid w:val="00670A21"/>
    <w:rsid w:val="0067171B"/>
    <w:rsid w:val="00672363"/>
    <w:rsid w:val="00672797"/>
    <w:rsid w:val="006746F5"/>
    <w:rsid w:val="00676177"/>
    <w:rsid w:val="00683FF7"/>
    <w:rsid w:val="0068540D"/>
    <w:rsid w:val="006A4D66"/>
    <w:rsid w:val="006A5804"/>
    <w:rsid w:val="006B1E03"/>
    <w:rsid w:val="006B3875"/>
    <w:rsid w:val="006B7BAF"/>
    <w:rsid w:val="006C0D40"/>
    <w:rsid w:val="006C767D"/>
    <w:rsid w:val="006C7883"/>
    <w:rsid w:val="006D04BB"/>
    <w:rsid w:val="006D0706"/>
    <w:rsid w:val="006D38E5"/>
    <w:rsid w:val="006E135C"/>
    <w:rsid w:val="006E5855"/>
    <w:rsid w:val="006E76E9"/>
    <w:rsid w:val="006E78EA"/>
    <w:rsid w:val="006F2E7B"/>
    <w:rsid w:val="006F3458"/>
    <w:rsid w:val="006F34B7"/>
    <w:rsid w:val="006F4807"/>
    <w:rsid w:val="006F52C9"/>
    <w:rsid w:val="00703B0C"/>
    <w:rsid w:val="007149AA"/>
    <w:rsid w:val="007228FE"/>
    <w:rsid w:val="00722BFA"/>
    <w:rsid w:val="007328E1"/>
    <w:rsid w:val="00750B47"/>
    <w:rsid w:val="0075407D"/>
    <w:rsid w:val="00755B45"/>
    <w:rsid w:val="00757475"/>
    <w:rsid w:val="0076302C"/>
    <w:rsid w:val="00764979"/>
    <w:rsid w:val="00764A8A"/>
    <w:rsid w:val="00766157"/>
    <w:rsid w:val="00770B31"/>
    <w:rsid w:val="00776120"/>
    <w:rsid w:val="0077767E"/>
    <w:rsid w:val="00780AD1"/>
    <w:rsid w:val="00783E0F"/>
    <w:rsid w:val="00787480"/>
    <w:rsid w:val="00792550"/>
    <w:rsid w:val="007A5BF6"/>
    <w:rsid w:val="007B1F02"/>
    <w:rsid w:val="007B273A"/>
    <w:rsid w:val="007B38FB"/>
    <w:rsid w:val="007C0233"/>
    <w:rsid w:val="007C5264"/>
    <w:rsid w:val="007C7FD7"/>
    <w:rsid w:val="007D0520"/>
    <w:rsid w:val="007D706E"/>
    <w:rsid w:val="007E1435"/>
    <w:rsid w:val="007E3D7F"/>
    <w:rsid w:val="007E50FC"/>
    <w:rsid w:val="007E5500"/>
    <w:rsid w:val="007E5E4B"/>
    <w:rsid w:val="008003E0"/>
    <w:rsid w:val="00801B88"/>
    <w:rsid w:val="00814399"/>
    <w:rsid w:val="00817D5B"/>
    <w:rsid w:val="00821AF9"/>
    <w:rsid w:val="008256B7"/>
    <w:rsid w:val="00830358"/>
    <w:rsid w:val="00837920"/>
    <w:rsid w:val="00844DA1"/>
    <w:rsid w:val="0085021B"/>
    <w:rsid w:val="00851138"/>
    <w:rsid w:val="00854173"/>
    <w:rsid w:val="00860390"/>
    <w:rsid w:val="008612DA"/>
    <w:rsid w:val="00867E1C"/>
    <w:rsid w:val="00870FF3"/>
    <w:rsid w:val="00871D29"/>
    <w:rsid w:val="00876BD8"/>
    <w:rsid w:val="00877483"/>
    <w:rsid w:val="008814B4"/>
    <w:rsid w:val="00884E83"/>
    <w:rsid w:val="0089094E"/>
    <w:rsid w:val="00890A1D"/>
    <w:rsid w:val="00892D32"/>
    <w:rsid w:val="0089472D"/>
    <w:rsid w:val="008A4C0B"/>
    <w:rsid w:val="008B0877"/>
    <w:rsid w:val="008B1B51"/>
    <w:rsid w:val="008B2976"/>
    <w:rsid w:val="008B50F7"/>
    <w:rsid w:val="008C00AF"/>
    <w:rsid w:val="008C2D8D"/>
    <w:rsid w:val="008D256B"/>
    <w:rsid w:val="008E3679"/>
    <w:rsid w:val="008E3B3D"/>
    <w:rsid w:val="008F1D7F"/>
    <w:rsid w:val="008F5AB5"/>
    <w:rsid w:val="008F67B2"/>
    <w:rsid w:val="008F6984"/>
    <w:rsid w:val="00900178"/>
    <w:rsid w:val="00900342"/>
    <w:rsid w:val="00906493"/>
    <w:rsid w:val="0090783B"/>
    <w:rsid w:val="0090798A"/>
    <w:rsid w:val="00911338"/>
    <w:rsid w:val="0091497F"/>
    <w:rsid w:val="009159BE"/>
    <w:rsid w:val="00926C23"/>
    <w:rsid w:val="00934B70"/>
    <w:rsid w:val="00935D94"/>
    <w:rsid w:val="009430FC"/>
    <w:rsid w:val="009436DD"/>
    <w:rsid w:val="009478A3"/>
    <w:rsid w:val="00950923"/>
    <w:rsid w:val="00954184"/>
    <w:rsid w:val="00955A70"/>
    <w:rsid w:val="00963623"/>
    <w:rsid w:val="00963E93"/>
    <w:rsid w:val="00970D93"/>
    <w:rsid w:val="00973E61"/>
    <w:rsid w:val="00976682"/>
    <w:rsid w:val="00976A46"/>
    <w:rsid w:val="00983DEF"/>
    <w:rsid w:val="00984337"/>
    <w:rsid w:val="00986C76"/>
    <w:rsid w:val="0099545E"/>
    <w:rsid w:val="00996248"/>
    <w:rsid w:val="009A46AE"/>
    <w:rsid w:val="009A4EDE"/>
    <w:rsid w:val="009B3450"/>
    <w:rsid w:val="009B3737"/>
    <w:rsid w:val="009B5211"/>
    <w:rsid w:val="009B611A"/>
    <w:rsid w:val="009C00AF"/>
    <w:rsid w:val="009C11FA"/>
    <w:rsid w:val="009C4A71"/>
    <w:rsid w:val="009C620F"/>
    <w:rsid w:val="009C771A"/>
    <w:rsid w:val="009C7DB8"/>
    <w:rsid w:val="009D47A0"/>
    <w:rsid w:val="009D64E2"/>
    <w:rsid w:val="009E219B"/>
    <w:rsid w:val="009E2A0C"/>
    <w:rsid w:val="009E7CB2"/>
    <w:rsid w:val="009F17D6"/>
    <w:rsid w:val="009F287C"/>
    <w:rsid w:val="009F3B25"/>
    <w:rsid w:val="009F3F9F"/>
    <w:rsid w:val="00A02803"/>
    <w:rsid w:val="00A03229"/>
    <w:rsid w:val="00A05765"/>
    <w:rsid w:val="00A05C9E"/>
    <w:rsid w:val="00A10344"/>
    <w:rsid w:val="00A13541"/>
    <w:rsid w:val="00A23B22"/>
    <w:rsid w:val="00A25FE7"/>
    <w:rsid w:val="00A4296E"/>
    <w:rsid w:val="00A50F0C"/>
    <w:rsid w:val="00A54630"/>
    <w:rsid w:val="00A56702"/>
    <w:rsid w:val="00A60F22"/>
    <w:rsid w:val="00A63E36"/>
    <w:rsid w:val="00A66C82"/>
    <w:rsid w:val="00A66E6D"/>
    <w:rsid w:val="00A74641"/>
    <w:rsid w:val="00A7513D"/>
    <w:rsid w:val="00A7787B"/>
    <w:rsid w:val="00A808C0"/>
    <w:rsid w:val="00A82B26"/>
    <w:rsid w:val="00A83A36"/>
    <w:rsid w:val="00A83CA1"/>
    <w:rsid w:val="00A83CDA"/>
    <w:rsid w:val="00A84011"/>
    <w:rsid w:val="00A84E10"/>
    <w:rsid w:val="00A9117A"/>
    <w:rsid w:val="00A9152E"/>
    <w:rsid w:val="00A95280"/>
    <w:rsid w:val="00A95FDA"/>
    <w:rsid w:val="00AA2095"/>
    <w:rsid w:val="00AA675E"/>
    <w:rsid w:val="00AB1478"/>
    <w:rsid w:val="00AB55CC"/>
    <w:rsid w:val="00AB7EFB"/>
    <w:rsid w:val="00AC248F"/>
    <w:rsid w:val="00AC4C98"/>
    <w:rsid w:val="00AC4D9C"/>
    <w:rsid w:val="00AC793C"/>
    <w:rsid w:val="00AD38F4"/>
    <w:rsid w:val="00AE34C9"/>
    <w:rsid w:val="00AE3EFB"/>
    <w:rsid w:val="00AE43D2"/>
    <w:rsid w:val="00AE5F23"/>
    <w:rsid w:val="00AF1309"/>
    <w:rsid w:val="00AF1CD3"/>
    <w:rsid w:val="00AF4B3B"/>
    <w:rsid w:val="00AF5461"/>
    <w:rsid w:val="00B022F4"/>
    <w:rsid w:val="00B06CD0"/>
    <w:rsid w:val="00B10432"/>
    <w:rsid w:val="00B114A5"/>
    <w:rsid w:val="00B1217D"/>
    <w:rsid w:val="00B1736E"/>
    <w:rsid w:val="00B235DA"/>
    <w:rsid w:val="00B25958"/>
    <w:rsid w:val="00B30959"/>
    <w:rsid w:val="00B348BC"/>
    <w:rsid w:val="00B37596"/>
    <w:rsid w:val="00B4156E"/>
    <w:rsid w:val="00B450C0"/>
    <w:rsid w:val="00B46336"/>
    <w:rsid w:val="00B46A08"/>
    <w:rsid w:val="00B475E1"/>
    <w:rsid w:val="00B528DD"/>
    <w:rsid w:val="00B53FA2"/>
    <w:rsid w:val="00B5532C"/>
    <w:rsid w:val="00B62198"/>
    <w:rsid w:val="00B6568C"/>
    <w:rsid w:val="00B70270"/>
    <w:rsid w:val="00B812DF"/>
    <w:rsid w:val="00B84D4F"/>
    <w:rsid w:val="00B87E6C"/>
    <w:rsid w:val="00B87ECF"/>
    <w:rsid w:val="00B96100"/>
    <w:rsid w:val="00B979FA"/>
    <w:rsid w:val="00BA0C90"/>
    <w:rsid w:val="00BA41A4"/>
    <w:rsid w:val="00BB6096"/>
    <w:rsid w:val="00BC2653"/>
    <w:rsid w:val="00BC2AE0"/>
    <w:rsid w:val="00BC3291"/>
    <w:rsid w:val="00BC3C3A"/>
    <w:rsid w:val="00BC4ECA"/>
    <w:rsid w:val="00BC56C3"/>
    <w:rsid w:val="00BC56D5"/>
    <w:rsid w:val="00BD001C"/>
    <w:rsid w:val="00BD00AA"/>
    <w:rsid w:val="00BD2298"/>
    <w:rsid w:val="00BD2332"/>
    <w:rsid w:val="00BD2DE2"/>
    <w:rsid w:val="00BD66A1"/>
    <w:rsid w:val="00BE43C6"/>
    <w:rsid w:val="00BE5705"/>
    <w:rsid w:val="00BF42CC"/>
    <w:rsid w:val="00C0269A"/>
    <w:rsid w:val="00C06C05"/>
    <w:rsid w:val="00C105C7"/>
    <w:rsid w:val="00C11017"/>
    <w:rsid w:val="00C111D1"/>
    <w:rsid w:val="00C13D77"/>
    <w:rsid w:val="00C14154"/>
    <w:rsid w:val="00C21C5D"/>
    <w:rsid w:val="00C26210"/>
    <w:rsid w:val="00C2637A"/>
    <w:rsid w:val="00C41990"/>
    <w:rsid w:val="00C43A7E"/>
    <w:rsid w:val="00C56358"/>
    <w:rsid w:val="00C6408E"/>
    <w:rsid w:val="00C65703"/>
    <w:rsid w:val="00C66888"/>
    <w:rsid w:val="00C742A1"/>
    <w:rsid w:val="00C74C44"/>
    <w:rsid w:val="00C84074"/>
    <w:rsid w:val="00C84E25"/>
    <w:rsid w:val="00C8544D"/>
    <w:rsid w:val="00C877DC"/>
    <w:rsid w:val="00C93467"/>
    <w:rsid w:val="00C9406C"/>
    <w:rsid w:val="00C97D05"/>
    <w:rsid w:val="00CA1A1B"/>
    <w:rsid w:val="00CA3B8F"/>
    <w:rsid w:val="00CA7EC7"/>
    <w:rsid w:val="00CB3E63"/>
    <w:rsid w:val="00CB48FA"/>
    <w:rsid w:val="00CB53E0"/>
    <w:rsid w:val="00CB72DF"/>
    <w:rsid w:val="00CC5D19"/>
    <w:rsid w:val="00CC6633"/>
    <w:rsid w:val="00CE1A4B"/>
    <w:rsid w:val="00CE46B8"/>
    <w:rsid w:val="00CE5430"/>
    <w:rsid w:val="00CE7415"/>
    <w:rsid w:val="00CF1F39"/>
    <w:rsid w:val="00CF5477"/>
    <w:rsid w:val="00CF5CA5"/>
    <w:rsid w:val="00CF624E"/>
    <w:rsid w:val="00D005A7"/>
    <w:rsid w:val="00D04917"/>
    <w:rsid w:val="00D11AC3"/>
    <w:rsid w:val="00D1278B"/>
    <w:rsid w:val="00D21F87"/>
    <w:rsid w:val="00D24334"/>
    <w:rsid w:val="00D24F54"/>
    <w:rsid w:val="00D26E75"/>
    <w:rsid w:val="00D30F00"/>
    <w:rsid w:val="00D3249E"/>
    <w:rsid w:val="00D364D4"/>
    <w:rsid w:val="00D3684A"/>
    <w:rsid w:val="00D37FAD"/>
    <w:rsid w:val="00D41DA6"/>
    <w:rsid w:val="00D42F98"/>
    <w:rsid w:val="00D43177"/>
    <w:rsid w:val="00D43F0A"/>
    <w:rsid w:val="00D446EA"/>
    <w:rsid w:val="00D47C2A"/>
    <w:rsid w:val="00D52BDD"/>
    <w:rsid w:val="00D554AE"/>
    <w:rsid w:val="00D63794"/>
    <w:rsid w:val="00D66A06"/>
    <w:rsid w:val="00D72298"/>
    <w:rsid w:val="00D742E6"/>
    <w:rsid w:val="00D7632E"/>
    <w:rsid w:val="00D76768"/>
    <w:rsid w:val="00D8088C"/>
    <w:rsid w:val="00D91D74"/>
    <w:rsid w:val="00D92EA7"/>
    <w:rsid w:val="00D93D2A"/>
    <w:rsid w:val="00D9737C"/>
    <w:rsid w:val="00DC1FE4"/>
    <w:rsid w:val="00DC3EDF"/>
    <w:rsid w:val="00DC53F7"/>
    <w:rsid w:val="00DD0D13"/>
    <w:rsid w:val="00DD4CED"/>
    <w:rsid w:val="00DD72C4"/>
    <w:rsid w:val="00DE3079"/>
    <w:rsid w:val="00DE457B"/>
    <w:rsid w:val="00DE5977"/>
    <w:rsid w:val="00DE71BB"/>
    <w:rsid w:val="00DF5738"/>
    <w:rsid w:val="00E10622"/>
    <w:rsid w:val="00E148A1"/>
    <w:rsid w:val="00E14D59"/>
    <w:rsid w:val="00E1537F"/>
    <w:rsid w:val="00E1542A"/>
    <w:rsid w:val="00E213F0"/>
    <w:rsid w:val="00E22706"/>
    <w:rsid w:val="00E24051"/>
    <w:rsid w:val="00E24831"/>
    <w:rsid w:val="00E261FC"/>
    <w:rsid w:val="00E36018"/>
    <w:rsid w:val="00E41A6C"/>
    <w:rsid w:val="00E4378B"/>
    <w:rsid w:val="00E4593D"/>
    <w:rsid w:val="00E46DE1"/>
    <w:rsid w:val="00E5096C"/>
    <w:rsid w:val="00E515F7"/>
    <w:rsid w:val="00E51A08"/>
    <w:rsid w:val="00E56540"/>
    <w:rsid w:val="00E641DF"/>
    <w:rsid w:val="00E65F92"/>
    <w:rsid w:val="00E65FC5"/>
    <w:rsid w:val="00E71B2C"/>
    <w:rsid w:val="00E726AD"/>
    <w:rsid w:val="00E72F5D"/>
    <w:rsid w:val="00E7360E"/>
    <w:rsid w:val="00E75DF8"/>
    <w:rsid w:val="00E76FF8"/>
    <w:rsid w:val="00E8187C"/>
    <w:rsid w:val="00E87E6D"/>
    <w:rsid w:val="00E90DD7"/>
    <w:rsid w:val="00E90F10"/>
    <w:rsid w:val="00E92157"/>
    <w:rsid w:val="00E946E2"/>
    <w:rsid w:val="00EA027F"/>
    <w:rsid w:val="00EA227F"/>
    <w:rsid w:val="00EA4E19"/>
    <w:rsid w:val="00EA4F16"/>
    <w:rsid w:val="00EA5344"/>
    <w:rsid w:val="00EB18A1"/>
    <w:rsid w:val="00EB28C8"/>
    <w:rsid w:val="00EB3CC4"/>
    <w:rsid w:val="00EB65FB"/>
    <w:rsid w:val="00EB7613"/>
    <w:rsid w:val="00EC06DB"/>
    <w:rsid w:val="00EC3DA1"/>
    <w:rsid w:val="00EC4E56"/>
    <w:rsid w:val="00EE7D80"/>
    <w:rsid w:val="00EF3FB1"/>
    <w:rsid w:val="00F0550F"/>
    <w:rsid w:val="00F061CF"/>
    <w:rsid w:val="00F061D1"/>
    <w:rsid w:val="00F12CF4"/>
    <w:rsid w:val="00F16F81"/>
    <w:rsid w:val="00F2154A"/>
    <w:rsid w:val="00F2179E"/>
    <w:rsid w:val="00F217EC"/>
    <w:rsid w:val="00F21CD7"/>
    <w:rsid w:val="00F24F1E"/>
    <w:rsid w:val="00F2528C"/>
    <w:rsid w:val="00F269D9"/>
    <w:rsid w:val="00F3753A"/>
    <w:rsid w:val="00F4287D"/>
    <w:rsid w:val="00F4509E"/>
    <w:rsid w:val="00F47344"/>
    <w:rsid w:val="00F51509"/>
    <w:rsid w:val="00F52827"/>
    <w:rsid w:val="00F5290A"/>
    <w:rsid w:val="00F55782"/>
    <w:rsid w:val="00F5657B"/>
    <w:rsid w:val="00F57A54"/>
    <w:rsid w:val="00F63DDE"/>
    <w:rsid w:val="00F66428"/>
    <w:rsid w:val="00F66564"/>
    <w:rsid w:val="00F673CE"/>
    <w:rsid w:val="00F7078C"/>
    <w:rsid w:val="00F74A84"/>
    <w:rsid w:val="00F74E4E"/>
    <w:rsid w:val="00F80076"/>
    <w:rsid w:val="00F85B92"/>
    <w:rsid w:val="00F86706"/>
    <w:rsid w:val="00F940E2"/>
    <w:rsid w:val="00F942EF"/>
    <w:rsid w:val="00F96190"/>
    <w:rsid w:val="00FA5F4A"/>
    <w:rsid w:val="00FA631D"/>
    <w:rsid w:val="00FB0AE3"/>
    <w:rsid w:val="00FB16C0"/>
    <w:rsid w:val="00FB18EA"/>
    <w:rsid w:val="00FB510B"/>
    <w:rsid w:val="00FC7793"/>
    <w:rsid w:val="00FC7B7D"/>
    <w:rsid w:val="00FD08F4"/>
    <w:rsid w:val="00FD58FD"/>
    <w:rsid w:val="00FE28BD"/>
    <w:rsid w:val="00FE371C"/>
    <w:rsid w:val="00FE39F8"/>
    <w:rsid w:val="00FE6D25"/>
    <w:rsid w:val="00FF17D8"/>
    <w:rsid w:val="00FF415F"/>
    <w:rsid w:val="52317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2203E-0801-440B-8EBE-20FBE47494DB}">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12</Pages>
  <Words>6368</Words>
  <Characters>6575</Characters>
  <Lines>47</Lines>
  <Paragraphs>13</Paragraphs>
  <TotalTime>211</TotalTime>
  <ScaleCrop>false</ScaleCrop>
  <LinksUpToDate>false</LinksUpToDate>
  <CharactersWithSpaces>6619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2016-12-06T10:37:00Z</dcterms:created>
  <dc:creator>user</dc:creator>
  <cp:lastModifiedBy>ZzZShuo</cp:lastModifiedBy>
  <cp:lastPrinted>2016-12-07T08:24:00Z</cp:lastPrinted>
  <dcterms:modified xsi:type="dcterms:W3CDTF">2025-10-16T07:30:56Z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eyJoZGlkIjoiNGQwMmQ0OTQ0NWY3MWY1N2Y3NmQ1ZjQzZWYwNGQ2MWQiLCJ1c2VySWQiOiIzMTg0MjUzNjEifQ==</vt:lpwstr>
  </property>
  <property fmtid="{D5CDD505-2E9C-101B-9397-08002B2CF9AE}" pid="3" name="KSOProductBuildVer">
    <vt:lpwstr>2052-12.1.0.22529</vt:lpwstr>
  </property>
  <property fmtid="{D5CDD505-2E9C-101B-9397-08002B2CF9AE}" pid="4" name="ICV">
    <vt:lpwstr>274579C358EC4B0284750075095E6FA8_12</vt:lpwstr>
  </property>
</Properties>
</file>