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北京市丰台区文化和旅游局</w:t>
      </w:r>
      <w:r>
        <w:rPr>
          <w:rFonts w:hint="eastAsia" w:ascii="方正小标宋_GBK" w:hAnsi="方正小标宋_GBK" w:eastAsia="方正小标宋_GBK" w:cs="方正小标宋_GBK"/>
          <w:sz w:val="44"/>
          <w:szCs w:val="44"/>
          <w:lang w:bidi="ar"/>
        </w:rPr>
        <w:t>2023年</w:t>
      </w:r>
    </w:p>
    <w:p>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_GBK" w:hAnsi="方正小标宋_GBK" w:eastAsia="方正小标宋_GBK" w:cs="方正小标宋_GBK"/>
          <w:sz w:val="44"/>
          <w:szCs w:val="44"/>
          <w:lang w:bidi="ar"/>
        </w:rPr>
        <w:t>政府信息公开工作年度报告</w:t>
      </w: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宋体"/>
          <w:color w:val="404040"/>
          <w:kern w:val="0"/>
          <w:sz w:val="32"/>
          <w:szCs w:val="32"/>
          <w:lang w:bidi="ar"/>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依据《中华人民共和国政府信息公开条例》(以下简称《政府信息公开条例》)第五十条规定，编制本报告。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w:t>
      </w:r>
      <w:bookmarkStart w:id="0" w:name="_GoBack"/>
      <w:bookmarkEnd w:id="0"/>
      <w:r>
        <w:rPr>
          <w:rFonts w:hint="eastAsia" w:ascii="仿宋_GB2312" w:hAnsi="仿宋_GB2312" w:eastAsia="仿宋_GB2312" w:cs="仿宋_GB2312"/>
          <w:sz w:val="32"/>
          <w:szCs w:val="32"/>
        </w:rPr>
        <w:t>本机关政府信息公开工作坚持以习近平新时代中国特色社会主义思想为指导，深入贯彻落实《中华人民共和国政府信息公开条例》部署。建立健全完善政务信息公开各项工作制度，落实政府信息公开责任 ，及时主动公开相关政府信息。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（一）组织机构建设情况。</w:t>
      </w:r>
      <w:r>
        <w:rPr>
          <w:rFonts w:hint="eastAsia" w:ascii="仿宋_GB2312" w:hAnsi="仿宋_GB2312" w:eastAsia="仿宋_GB2312" w:cs="仿宋_GB2312"/>
          <w:sz w:val="32"/>
          <w:szCs w:val="32"/>
        </w:rPr>
        <w:t>高度重视政府信息公开工作，把推进政务信息公开工作作为保障群众知情权、加强自身廉政建设的重要举措。成立了政务公开工作领导小组,下设领导小组办公室，负责日常工作。同时，把信息公开工作与业务工作同安排同部署，把政务公开、网络安全工作摆上重要议事日程，进一步提高了全系统的重视程度和责任意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（二）落实和制定相关配套措施情况。</w:t>
      </w:r>
      <w:r>
        <w:rPr>
          <w:rFonts w:hint="eastAsia" w:ascii="仿宋_GB2312" w:hAnsi="仿宋_GB2312" w:eastAsia="仿宋_GB2312" w:cs="仿宋_GB2312"/>
          <w:sz w:val="32"/>
          <w:szCs w:val="32"/>
        </w:rPr>
        <w:t>为推进信息公开工作规范化、制度化，为了方便公民、法人和其他组织依法获取政府信息，做好政府信息公开工作，制定了区文旅局信息主动公开操作流程、依申请公开处理流程、信息公开管理模式等工作制度。同时，参照上级部门制订的工作制度，制定本单位的各项工作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（二）落实和制定相关配套措施情况。</w:t>
      </w:r>
      <w:r>
        <w:rPr>
          <w:rFonts w:hint="eastAsia" w:ascii="仿宋_GB2312" w:hAnsi="仿宋_GB2312" w:eastAsia="仿宋_GB2312" w:cs="仿宋_GB2312"/>
          <w:sz w:val="32"/>
          <w:szCs w:val="32"/>
        </w:rPr>
        <w:t>为推进信息公开工作规范化、制度化，为了方便公民、法人和其他组织依法获取政府信息，制定了区文旅局信息主动公开操作流程、依申请公开处理流程等工作制度。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）政府信息主动公开情况。</w:t>
      </w:r>
      <w:r>
        <w:rPr>
          <w:rFonts w:hint="eastAsia" w:ascii="仿宋_GB2312" w:hAnsi="仿宋_GB2312" w:eastAsia="仿宋_GB2312" w:cs="仿宋_GB2312"/>
          <w:sz w:val="32"/>
          <w:szCs w:val="32"/>
        </w:rPr>
        <w:t>全年在</w:t>
      </w:r>
      <w:r>
        <w:rPr>
          <w:rFonts w:hint="eastAsia" w:ascii="仿宋_GB2312" w:hAnsi="仿宋_GB2312" w:eastAsia="仿宋_GB2312" w:cs="仿宋_GB2312"/>
          <w:sz w:val="32"/>
          <w:szCs w:val="32"/>
          <w:lang w:eastAsia="zh-CN"/>
        </w:rPr>
        <w:t>丰台区</w:t>
      </w:r>
      <w:r>
        <w:rPr>
          <w:rFonts w:hint="eastAsia" w:ascii="仿宋_GB2312" w:hAnsi="仿宋_GB2312" w:eastAsia="仿宋_GB2312" w:cs="仿宋_GB2312"/>
          <w:sz w:val="32"/>
          <w:szCs w:val="32"/>
        </w:rPr>
        <w:t>政府网站主动公开政府信息</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条。通过</w:t>
      </w:r>
      <w:r>
        <w:rPr>
          <w:rFonts w:hint="eastAsia" w:ascii="仿宋_GB2312" w:hAnsi="仿宋_GB2312" w:eastAsia="仿宋_GB2312" w:cs="仿宋_GB2312"/>
          <w:sz w:val="32"/>
          <w:szCs w:val="32"/>
          <w:lang w:eastAsia="zh-CN"/>
        </w:rPr>
        <w:t>“文旅丰台”</w:t>
      </w:r>
      <w:r>
        <w:rPr>
          <w:rFonts w:hint="eastAsia" w:ascii="仿宋_GB2312" w:hAnsi="仿宋_GB2312" w:eastAsia="仿宋_GB2312" w:cs="仿宋_GB2312"/>
          <w:sz w:val="32"/>
          <w:szCs w:val="32"/>
        </w:rPr>
        <w:t>微信公众号、微信视频号、今日头条、微博、环游号等政务新媒体主动发布文化旅游活动、文旅品牌创建、文化旅游政策、旅游安全提示等信息</w:t>
      </w:r>
      <w:r>
        <w:rPr>
          <w:rFonts w:hint="eastAsia" w:ascii="仿宋_GB2312" w:hAnsi="仿宋_GB2312" w:eastAsia="仿宋_GB2312" w:cs="仿宋_GB2312"/>
          <w:sz w:val="32"/>
          <w:szCs w:val="32"/>
          <w:lang w:val="en-US" w:eastAsia="zh-CN"/>
        </w:rPr>
        <w:t>5719</w:t>
      </w:r>
      <w:r>
        <w:rPr>
          <w:rFonts w:hint="eastAsia" w:ascii="仿宋_GB2312" w:hAnsi="仿宋_GB2312" w:eastAsia="仿宋_GB2312" w:cs="仿宋_GB2312"/>
          <w:sz w:val="32"/>
          <w:szCs w:val="32"/>
        </w:rPr>
        <w:t>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）政府信息依申请公开情况。</w:t>
      </w:r>
      <w:r>
        <w:rPr>
          <w:rFonts w:hint="eastAsia" w:ascii="仿宋_GB2312" w:hAnsi="仿宋_GB2312" w:eastAsia="仿宋_GB2312" w:cs="仿宋_GB2312"/>
          <w:sz w:val="32"/>
          <w:szCs w:val="32"/>
        </w:rPr>
        <w:t>2023年收到本部门有关政府信息公开事务的申请</w:t>
      </w:r>
      <w:r>
        <w:rPr>
          <w:rFonts w:hint="eastAsia" w:ascii="仿宋_GB2312" w:hAnsi="仿宋_GB2312" w:eastAsia="仿宋_GB2312" w:cs="仿宋_GB2312"/>
          <w:sz w:val="32"/>
          <w:szCs w:val="32"/>
          <w:lang w:val="en-US" w:eastAsia="zh-CN"/>
        </w:rPr>
        <w:t>1件</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（五）监督保障情况。</w:t>
      </w:r>
      <w:r>
        <w:rPr>
          <w:rFonts w:hint="eastAsia" w:ascii="仿宋_GB2312" w:hAnsi="仿宋_GB2312" w:eastAsia="仿宋_GB2312" w:cs="仿宋_GB2312"/>
          <w:sz w:val="32"/>
          <w:szCs w:val="32"/>
        </w:rPr>
        <w:t>加强政务公开工作考核，及时对反馈的问题进行整改。加强政务公开工作培训，积极参加</w:t>
      </w:r>
      <w:r>
        <w:rPr>
          <w:rFonts w:hint="eastAsia" w:ascii="仿宋_GB2312" w:hAnsi="仿宋_GB2312" w:eastAsia="仿宋_GB2312" w:cs="仿宋_GB2312"/>
          <w:sz w:val="32"/>
          <w:szCs w:val="32"/>
          <w:lang w:eastAsia="zh-CN"/>
        </w:rPr>
        <w:t>区级相关部门</w:t>
      </w:r>
      <w:r>
        <w:rPr>
          <w:rFonts w:hint="eastAsia" w:ascii="仿宋_GB2312" w:hAnsi="仿宋_GB2312" w:eastAsia="仿宋_GB2312" w:cs="仿宋_GB2312"/>
          <w:sz w:val="32"/>
          <w:szCs w:val="32"/>
        </w:rPr>
        <w:t>组织的政务公开工作培训会，不断提升信息发布质效、提升政府信息公开服务水平。</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cs="Calibri"/>
                <w:kern w:val="0"/>
                <w:szCs w:val="21"/>
                <w:lang w:bidi="ar"/>
              </w:rPr>
              <w:t> </w:t>
            </w:r>
            <w:r>
              <w:rPr>
                <w:rFonts w:hint="eastAsia" w:cs="Calibri"/>
                <w:kern w:val="0"/>
                <w:szCs w:val="21"/>
                <w:lang w:val="en-US" w:eastAsia="zh-CN" w:bidi="ar"/>
              </w:rPr>
              <w:t>195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lang w:val="en-US" w:eastAsia="zh-CN"/>
              </w:rPr>
              <w:t>74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3"/>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6"/>
        <w:gridCol w:w="688"/>
        <w:gridCol w:w="688"/>
        <w:gridCol w:w="688"/>
        <w:gridCol w:w="688"/>
        <w:gridCol w:w="688"/>
        <w:gridCol w:w="688"/>
        <w:gridCol w:w="6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95"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25"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95"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25"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59"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r>
              <w:rPr>
                <w:rFonts w:hint="eastAsia" w:cs="Calibri"/>
                <w:kern w:val="0"/>
                <w:sz w:val="20"/>
                <w:szCs w:val="20"/>
                <w:lang w:val="en-US" w:eastAsia="zh-CN" w:bidi="ar"/>
              </w:rPr>
              <w:t>1</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59"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rPr>
                <w:rFonts w:hint="eastAsia"/>
                <w:lang w:val="en-US" w:eastAsia="zh-CN"/>
              </w:rPr>
            </w:pPr>
          </w:p>
          <w:p>
            <w:pPr>
              <w:ind w:firstLine="210" w:firstLineChars="100"/>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p>
          <w:p>
            <w:pPr>
              <w:pStyle w:val="2"/>
              <w:ind w:firstLine="210" w:firstLineChars="100"/>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p>
          <w:p>
            <w:pPr>
              <w:pStyle w:val="2"/>
              <w:ind w:firstLine="210" w:firstLineChars="100"/>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1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59"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1</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eastAsia="宋体" w:cs="宋体"/>
                <w:sz w:val="24"/>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inset" w:color="auto" w:sz="6" w:space="0"/>
              <w:left w:val="single" w:color="auto" w:sz="0" w:space="0"/>
              <w:bottom w:val="inset" w:color="auto" w:sz="6" w:space="0"/>
              <w:right w:val="inset" w:color="auto" w:sz="6" w:space="0"/>
            </w:tcBorders>
            <w:noWrap w:val="0"/>
            <w:vAlign w:val="top"/>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r>
    </w:tbl>
    <w:p>
      <w:pPr>
        <w:pStyle w:val="2"/>
        <w:widowControl/>
        <w:ind w:left="420" w:leftChars="200"/>
      </w:pPr>
    </w:p>
    <w:p>
      <w:pPr>
        <w:pStyle w:val="2"/>
        <w:widowControl/>
        <w:ind w:left="420" w:leftChars="200"/>
      </w:pPr>
    </w:p>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（一）存在问题。</w:t>
      </w:r>
      <w:r>
        <w:rPr>
          <w:rFonts w:hint="default" w:ascii="仿宋_GB2312" w:hAnsi="仿宋_GB2312" w:eastAsia="仿宋_GB2312" w:cs="仿宋_GB2312"/>
          <w:sz w:val="32"/>
          <w:szCs w:val="32"/>
          <w:lang w:val="en-US" w:eastAsia="zh-CN"/>
        </w:rPr>
        <w:t>会议公开工作、重大行政决策公开需进一步加强；政府信息公开的数量和质量还</w:t>
      </w:r>
      <w:r>
        <w:rPr>
          <w:rFonts w:hint="eastAsia" w:ascii="仿宋_GB2312" w:hAnsi="仿宋_GB2312" w:eastAsia="仿宋_GB2312" w:cs="仿宋_GB2312"/>
          <w:sz w:val="32"/>
          <w:szCs w:val="32"/>
          <w:lang w:val="en-US" w:eastAsia="zh-CN"/>
        </w:rPr>
        <w:t>有待</w:t>
      </w:r>
      <w:r>
        <w:rPr>
          <w:rFonts w:hint="default" w:ascii="仿宋_GB2312" w:hAnsi="仿宋_GB2312" w:eastAsia="仿宋_GB2312" w:cs="仿宋_GB2312"/>
          <w:sz w:val="32"/>
          <w:szCs w:val="32"/>
          <w:lang w:val="en-US" w:eastAsia="zh-CN"/>
        </w:rPr>
        <w:t>进一步提高，政策解读仅限于文字解读，图片、视频等多元化解读不够</w:t>
      </w:r>
      <w:r>
        <w:rPr>
          <w:rFonts w:hint="eastAsia" w:ascii="仿宋_GB2312" w:hAnsi="仿宋_GB2312" w:eastAsia="仿宋_GB2312" w:cs="仿宋_GB2312"/>
          <w:sz w:val="32"/>
          <w:szCs w:val="32"/>
          <w:lang w:val="en-US" w:eastAsia="zh-CN"/>
        </w:rPr>
        <w:t>。依申请公开的信息查询渠道及法律依据引用不够准确。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（二）改进措施。</w:t>
      </w:r>
      <w:r>
        <w:rPr>
          <w:rFonts w:hint="default" w:ascii="仿宋_GB2312" w:hAnsi="仿宋_GB2312" w:eastAsia="仿宋_GB2312" w:cs="仿宋_GB2312"/>
          <w:sz w:val="32"/>
          <w:szCs w:val="32"/>
          <w:lang w:val="en-US" w:eastAsia="zh-CN"/>
        </w:rPr>
        <w:t>2024年将按照</w:t>
      </w:r>
      <w:r>
        <w:rPr>
          <w:rFonts w:hint="eastAsia" w:ascii="仿宋_GB2312" w:hAnsi="仿宋_GB2312" w:eastAsia="仿宋_GB2312" w:cs="仿宋_GB2312"/>
          <w:sz w:val="32"/>
          <w:szCs w:val="32"/>
          <w:lang w:val="en-US" w:eastAsia="zh-CN"/>
        </w:rPr>
        <w:t>市区</w:t>
      </w:r>
      <w:r>
        <w:rPr>
          <w:rFonts w:hint="default" w:ascii="仿宋_GB2312" w:hAnsi="仿宋_GB2312" w:eastAsia="仿宋_GB2312" w:cs="仿宋_GB2312"/>
          <w:sz w:val="32"/>
          <w:szCs w:val="32"/>
          <w:lang w:val="en-US" w:eastAsia="zh-CN"/>
        </w:rPr>
        <w:t>统一部署，加大政府信息公开力度，围绕年度政府重点工作做好相关信息公开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善提升政策文件解读工作。认真落实政策文件与解读方案、解读材料同步起草、同步审批、同步发布“三同步”要求，对专业性强的政策要运用客观数据、生动实例，进行形象化、通俗化解读，为推动政策落地营造良好环境，提高人民群众的获得感和对政府工作的满意度。</w:t>
      </w:r>
      <w:r>
        <w:rPr>
          <w:rFonts w:hint="eastAsia" w:ascii="仿宋_GB2312" w:hAnsi="仿宋_GB2312" w:eastAsia="仿宋_GB2312" w:cs="仿宋_GB2312"/>
          <w:sz w:val="32"/>
          <w:szCs w:val="32"/>
          <w:lang w:eastAsia="zh-CN"/>
        </w:rPr>
        <w:t>进一步加强对政府信息公开条例的学习，确保依申请公开答复程序合法，内容精准。</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pPr>
      <w:r>
        <w:rPr>
          <w:rFonts w:hint="eastAsia" w:ascii="宋体" w:hAnsi="宋体" w:cs="宋体"/>
          <w:spacing w:val="8"/>
          <w:kern w:val="0"/>
          <w:sz w:val="32"/>
          <w:szCs w:val="32"/>
          <w:lang w:bidi="ar"/>
        </w:rPr>
        <w:t>　</w:t>
      </w:r>
      <w:r>
        <w:rPr>
          <w:rFonts w:hint="eastAsia" w:ascii="仿宋_GB2312" w:hAnsi="宋体" w:eastAsia="仿宋_GB2312" w:cs="宋体"/>
          <w:color w:val="000000"/>
          <w:spacing w:val="8"/>
          <w:kern w:val="0"/>
          <w:sz w:val="32"/>
          <w:szCs w:val="32"/>
          <w:lang w:val="en-US" w:eastAsia="zh-CN"/>
        </w:rPr>
        <w:t>按照《国务院办公厅关于印发〈政府信息公开信息处理费管理办法〉的通知》（国办函〔2020〕109号）规定的按件、按量收费标准，本年度没有产生信息公开处理费。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B5B6E2A"/>
    <w:rsid w:val="36BB192D"/>
    <w:rsid w:val="4D5E6526"/>
    <w:rsid w:val="55BA781E"/>
    <w:rsid w:val="7E5F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toc 3"/>
    <w:basedOn w:val="1"/>
    <w:next w:val="1"/>
    <w:unhideWhenUsed/>
    <w:qFormat/>
    <w:uiPriority w:val="39"/>
    <w:pPr>
      <w:ind w:left="840" w:leftChars="4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2024-01-02T10:18:00Z</dcterms:created>
  <dc:creator>Ren$hiro</dc:creator>
  <cp:lastModifiedBy>一迪</cp:lastModifiedBy>
  <dcterms:modified xsi:type="dcterms:W3CDTF">2024-01-12T08:20:26Z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07FADFA548B94F4B9076EDD9974BFEB4</vt:lpwstr>
  </property>
</Properties>
</file>