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北京市丰台区水务局</w:t>
      </w:r>
      <w:r>
        <w:rPr>
          <w:rFonts w:hint="eastAsia" w:ascii="方正小标宋简体" w:hAnsi="方正小标宋简体" w:eastAsia="方正小标宋简体" w:cs="方正小标宋简体"/>
          <w:sz w:val="44"/>
          <w:szCs w:val="44"/>
        </w:rPr>
        <w:t>2021年政府信息</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pPr>
        <w:spacing w:line="560" w:lineRule="exact"/>
        <w:jc w:val="center"/>
        <w:rPr>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default" w:ascii="Times New Roman" w:hAnsi="Times New Roman" w:eastAsia="黑体" w:cs="Times New Roman"/>
          <w:spacing w:val="8"/>
          <w:kern w:val="0"/>
          <w:sz w:val="32"/>
          <w:szCs w:val="32"/>
        </w:rPr>
      </w:pPr>
      <w:r>
        <w:rPr>
          <w:rFonts w:hint="default" w:ascii="Times New Roman" w:hAnsi="Times New Roman" w:eastAsia="黑体" w:cs="Times New Roman"/>
          <w:spacing w:val="8"/>
          <w:kern w:val="0"/>
          <w:sz w:val="32"/>
          <w:szCs w:val="32"/>
        </w:rPr>
        <w:t>一、总体情况</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eastAsia" w:eastAsia="仿宋_GB2312" w:cs="Times New Roman"/>
          <w:spacing w:val="8"/>
          <w:kern w:val="0"/>
          <w:sz w:val="32"/>
          <w:szCs w:val="32"/>
          <w:lang w:val="en-US" w:eastAsia="zh-CN"/>
        </w:rPr>
        <w:t>(</w:t>
      </w:r>
      <w:r>
        <w:rPr>
          <w:rFonts w:hint="eastAsia" w:eastAsia="仿宋_GB2312" w:cs="Times New Roman"/>
          <w:spacing w:val="8"/>
          <w:kern w:val="0"/>
          <w:sz w:val="32"/>
          <w:szCs w:val="32"/>
          <w:lang w:eastAsia="zh-CN"/>
        </w:rPr>
        <w:t>一</w:t>
      </w:r>
      <w:r>
        <w:rPr>
          <w:rFonts w:hint="eastAsia" w:eastAsia="仿宋_GB2312" w:cs="Times New Roman"/>
          <w:spacing w:val="8"/>
          <w:kern w:val="0"/>
          <w:sz w:val="32"/>
          <w:szCs w:val="32"/>
          <w:lang w:val="en-US" w:eastAsia="zh-CN"/>
        </w:rPr>
        <w:t>)</w:t>
      </w:r>
      <w:r>
        <w:rPr>
          <w:rFonts w:hint="default" w:ascii="Times New Roman" w:hAnsi="Times New Roman" w:eastAsia="仿宋_GB2312" w:cs="Times New Roman"/>
          <w:spacing w:val="8"/>
          <w:kern w:val="0"/>
          <w:sz w:val="32"/>
          <w:szCs w:val="32"/>
        </w:rPr>
        <w:t>、主动公开情况</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202</w:t>
      </w:r>
      <w:r>
        <w:rPr>
          <w:rFonts w:hint="default" w:ascii="Times New Roman" w:hAnsi="Times New Roman" w:eastAsia="仿宋_GB2312" w:cs="Times New Roman"/>
          <w:spacing w:val="8"/>
          <w:kern w:val="0"/>
          <w:sz w:val="32"/>
          <w:szCs w:val="32"/>
          <w:lang w:val="en-US" w:eastAsia="zh-CN"/>
        </w:rPr>
        <w:t>1</w:t>
      </w:r>
      <w:r>
        <w:rPr>
          <w:rFonts w:hint="default" w:ascii="Times New Roman" w:hAnsi="Times New Roman" w:eastAsia="仿宋_GB2312" w:cs="Times New Roman"/>
          <w:spacing w:val="8"/>
          <w:kern w:val="0"/>
          <w:sz w:val="32"/>
          <w:szCs w:val="32"/>
        </w:rPr>
        <w:t>年，北京市丰台区水务局累计主动公开政府信息</w:t>
      </w:r>
      <w:r>
        <w:rPr>
          <w:rFonts w:hint="default" w:ascii="Times New Roman" w:hAnsi="Times New Roman" w:eastAsia="仿宋_GB2312" w:cs="Times New Roman"/>
          <w:spacing w:val="8"/>
          <w:kern w:val="0"/>
          <w:sz w:val="32"/>
          <w:szCs w:val="32"/>
          <w:lang w:val="en-US" w:eastAsia="zh-CN"/>
        </w:rPr>
        <w:t>93</w:t>
      </w:r>
      <w:r>
        <w:rPr>
          <w:rFonts w:hint="default" w:ascii="Times New Roman" w:hAnsi="Times New Roman" w:eastAsia="仿宋_GB2312" w:cs="Times New Roman"/>
          <w:spacing w:val="8"/>
          <w:kern w:val="0"/>
          <w:sz w:val="32"/>
          <w:szCs w:val="32"/>
        </w:rPr>
        <w:t>条，其中机构职能及领导信息</w:t>
      </w:r>
      <w:r>
        <w:rPr>
          <w:rFonts w:hint="eastAsia" w:ascii="Times New Roman" w:hAnsi="Times New Roman" w:eastAsia="仿宋_GB2312" w:cs="Times New Roman"/>
          <w:spacing w:val="8"/>
          <w:kern w:val="0"/>
          <w:sz w:val="32"/>
          <w:szCs w:val="32"/>
          <w:lang w:val="en-US" w:eastAsia="zh-CN"/>
        </w:rPr>
        <w:t>1</w:t>
      </w:r>
      <w:r>
        <w:rPr>
          <w:rFonts w:hint="default" w:ascii="Times New Roman" w:hAnsi="Times New Roman" w:eastAsia="仿宋_GB2312" w:cs="Times New Roman"/>
          <w:spacing w:val="8"/>
          <w:kern w:val="0"/>
          <w:sz w:val="32"/>
          <w:szCs w:val="32"/>
        </w:rPr>
        <w:t>条，政策法规2条，规划计划</w:t>
      </w:r>
      <w:r>
        <w:rPr>
          <w:rFonts w:hint="default" w:ascii="Times New Roman" w:hAnsi="Times New Roman" w:eastAsia="仿宋_GB2312" w:cs="Times New Roman"/>
          <w:spacing w:val="8"/>
          <w:kern w:val="0"/>
          <w:sz w:val="32"/>
          <w:szCs w:val="32"/>
          <w:lang w:val="en-US" w:eastAsia="zh-CN"/>
        </w:rPr>
        <w:t>0</w:t>
      </w:r>
      <w:r>
        <w:rPr>
          <w:rFonts w:hint="default" w:ascii="Times New Roman" w:hAnsi="Times New Roman" w:eastAsia="仿宋_GB2312" w:cs="Times New Roman"/>
          <w:spacing w:val="8"/>
          <w:kern w:val="0"/>
          <w:sz w:val="32"/>
          <w:szCs w:val="32"/>
        </w:rPr>
        <w:t>条，业务工作动态</w:t>
      </w:r>
      <w:r>
        <w:rPr>
          <w:rFonts w:hint="default" w:ascii="Times New Roman" w:hAnsi="Times New Roman" w:eastAsia="仿宋_GB2312" w:cs="Times New Roman"/>
          <w:spacing w:val="8"/>
          <w:kern w:val="0"/>
          <w:sz w:val="32"/>
          <w:szCs w:val="32"/>
          <w:lang w:val="en-US" w:eastAsia="zh-CN"/>
        </w:rPr>
        <w:t>9</w:t>
      </w:r>
      <w:r>
        <w:rPr>
          <w:rFonts w:hint="eastAsia" w:ascii="Times New Roman" w:hAnsi="Times New Roman" w:eastAsia="仿宋_GB2312" w:cs="Times New Roman"/>
          <w:spacing w:val="8"/>
          <w:kern w:val="0"/>
          <w:sz w:val="32"/>
          <w:szCs w:val="32"/>
          <w:lang w:val="en-US" w:eastAsia="zh-CN"/>
        </w:rPr>
        <w:t>0</w:t>
      </w:r>
      <w:r>
        <w:rPr>
          <w:rFonts w:hint="default" w:ascii="Times New Roman" w:hAnsi="Times New Roman" w:eastAsia="仿宋_GB2312" w:cs="Times New Roman"/>
          <w:spacing w:val="8"/>
          <w:kern w:val="0"/>
          <w:sz w:val="32"/>
          <w:szCs w:val="32"/>
        </w:rPr>
        <w:t>条。</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eastAsia" w:eastAsia="仿宋_GB2312" w:cs="Times New Roman"/>
          <w:spacing w:val="8"/>
          <w:kern w:val="0"/>
          <w:sz w:val="32"/>
          <w:szCs w:val="32"/>
          <w:lang w:val="en-US" w:eastAsia="zh-CN"/>
        </w:rPr>
        <w:t>(</w:t>
      </w:r>
      <w:r>
        <w:rPr>
          <w:rFonts w:hint="eastAsia" w:eastAsia="仿宋_GB2312" w:cs="Times New Roman"/>
          <w:spacing w:val="8"/>
          <w:kern w:val="0"/>
          <w:sz w:val="32"/>
          <w:szCs w:val="32"/>
          <w:lang w:eastAsia="zh-CN"/>
        </w:rPr>
        <w:t>二</w:t>
      </w:r>
      <w:r>
        <w:rPr>
          <w:rFonts w:hint="eastAsia" w:eastAsia="仿宋_GB2312" w:cs="Times New Roman"/>
          <w:spacing w:val="8"/>
          <w:kern w:val="0"/>
          <w:sz w:val="32"/>
          <w:szCs w:val="32"/>
          <w:lang w:val="en-US" w:eastAsia="zh-CN"/>
        </w:rPr>
        <w:t>)</w:t>
      </w:r>
      <w:r>
        <w:rPr>
          <w:rFonts w:hint="default" w:ascii="Times New Roman" w:hAnsi="Times New Roman" w:eastAsia="仿宋_GB2312" w:cs="Times New Roman"/>
          <w:spacing w:val="8"/>
          <w:kern w:val="0"/>
          <w:sz w:val="32"/>
          <w:szCs w:val="32"/>
        </w:rPr>
        <w:t>、依申请公开办理情况</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202</w:t>
      </w:r>
      <w:r>
        <w:rPr>
          <w:rFonts w:hint="default" w:ascii="Times New Roman" w:hAnsi="Times New Roman" w:eastAsia="仿宋_GB2312" w:cs="Times New Roman"/>
          <w:spacing w:val="8"/>
          <w:kern w:val="0"/>
          <w:sz w:val="32"/>
          <w:szCs w:val="32"/>
          <w:lang w:val="en-US" w:eastAsia="zh-CN"/>
        </w:rPr>
        <w:t>1</w:t>
      </w:r>
      <w:r>
        <w:rPr>
          <w:rFonts w:hint="default" w:ascii="Times New Roman" w:hAnsi="Times New Roman" w:eastAsia="仿宋_GB2312" w:cs="Times New Roman"/>
          <w:spacing w:val="8"/>
          <w:kern w:val="0"/>
          <w:sz w:val="32"/>
          <w:szCs w:val="32"/>
        </w:rPr>
        <w:t>年，北京市丰台区水务局共受理依申请公开1</w:t>
      </w:r>
      <w:r>
        <w:rPr>
          <w:rFonts w:hint="default" w:ascii="Times New Roman" w:hAnsi="Times New Roman" w:eastAsia="仿宋_GB2312" w:cs="Times New Roman"/>
          <w:spacing w:val="8"/>
          <w:kern w:val="0"/>
          <w:sz w:val="32"/>
          <w:szCs w:val="32"/>
          <w:lang w:val="en-US" w:eastAsia="zh-CN"/>
        </w:rPr>
        <w:t>5</w:t>
      </w:r>
      <w:r>
        <w:rPr>
          <w:rFonts w:hint="default" w:ascii="Times New Roman" w:hAnsi="Times New Roman" w:eastAsia="仿宋_GB2312" w:cs="Times New Roman"/>
          <w:spacing w:val="8"/>
          <w:kern w:val="0"/>
          <w:sz w:val="32"/>
          <w:szCs w:val="32"/>
        </w:rPr>
        <w:t>件。其中，</w:t>
      </w:r>
      <w:r>
        <w:rPr>
          <w:rFonts w:hint="default" w:ascii="Times New Roman" w:hAnsi="Times New Roman" w:eastAsia="仿宋_GB2312" w:cs="Times New Roman"/>
          <w:spacing w:val="8"/>
          <w:kern w:val="0"/>
          <w:sz w:val="32"/>
          <w:szCs w:val="32"/>
          <w:lang w:val="en-US" w:eastAsia="zh-CN"/>
        </w:rPr>
        <w:t>15</w:t>
      </w:r>
      <w:r>
        <w:rPr>
          <w:rFonts w:hint="default" w:ascii="Times New Roman" w:hAnsi="Times New Roman" w:eastAsia="仿宋_GB2312" w:cs="Times New Roman"/>
          <w:spacing w:val="8"/>
          <w:kern w:val="0"/>
          <w:sz w:val="32"/>
          <w:szCs w:val="32"/>
        </w:rPr>
        <w:t>件信息公开申请人为自然人，</w:t>
      </w:r>
      <w:r>
        <w:rPr>
          <w:rFonts w:hint="default" w:ascii="Times New Roman" w:hAnsi="Times New Roman" w:eastAsia="仿宋_GB2312" w:cs="Times New Roman"/>
          <w:spacing w:val="8"/>
          <w:kern w:val="0"/>
          <w:sz w:val="32"/>
          <w:szCs w:val="32"/>
          <w:lang w:val="en-US" w:eastAsia="zh-CN"/>
        </w:rPr>
        <w:t>0</w:t>
      </w:r>
      <w:r>
        <w:rPr>
          <w:rFonts w:hint="default" w:ascii="Times New Roman" w:hAnsi="Times New Roman" w:eastAsia="仿宋_GB2312" w:cs="Times New Roman"/>
          <w:spacing w:val="8"/>
          <w:kern w:val="0"/>
          <w:sz w:val="32"/>
          <w:szCs w:val="32"/>
        </w:rPr>
        <w:t>件信息公开申请人为商业企业。其中</w:t>
      </w:r>
      <w:r>
        <w:rPr>
          <w:rFonts w:hint="default" w:ascii="Times New Roman" w:hAnsi="Times New Roman" w:eastAsia="仿宋_GB2312" w:cs="Times New Roman"/>
          <w:spacing w:val="8"/>
          <w:kern w:val="0"/>
          <w:sz w:val="32"/>
          <w:szCs w:val="32"/>
          <w:lang w:val="en-US" w:eastAsia="zh-CN"/>
        </w:rPr>
        <w:t>14</w:t>
      </w:r>
      <w:r>
        <w:rPr>
          <w:rFonts w:hint="default" w:ascii="Times New Roman" w:hAnsi="Times New Roman" w:eastAsia="仿宋_GB2312" w:cs="Times New Roman"/>
          <w:spacing w:val="8"/>
          <w:kern w:val="0"/>
          <w:sz w:val="32"/>
          <w:szCs w:val="32"/>
        </w:rPr>
        <w:t>件按照《中华人民共和国政府信息公开条例》、《北京市政府信息公开规定》依申请公开流程和要求，依法予以答复。剩余1件结转下年度办理。</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eastAsia" w:eastAsia="仿宋_GB2312" w:cs="Times New Roman"/>
          <w:spacing w:val="8"/>
          <w:kern w:val="0"/>
          <w:sz w:val="32"/>
          <w:szCs w:val="32"/>
          <w:lang w:val="en-US" w:eastAsia="zh-CN"/>
        </w:rPr>
        <w:t>(</w:t>
      </w:r>
      <w:r>
        <w:rPr>
          <w:rFonts w:hint="eastAsia" w:eastAsia="仿宋_GB2312" w:cs="Times New Roman"/>
          <w:spacing w:val="8"/>
          <w:kern w:val="0"/>
          <w:sz w:val="32"/>
          <w:szCs w:val="32"/>
          <w:lang w:eastAsia="zh-CN"/>
        </w:rPr>
        <w:t>三</w:t>
      </w:r>
      <w:r>
        <w:rPr>
          <w:rFonts w:hint="eastAsia" w:eastAsia="仿宋_GB2312" w:cs="Times New Roman"/>
          <w:spacing w:val="8"/>
          <w:kern w:val="0"/>
          <w:sz w:val="32"/>
          <w:szCs w:val="32"/>
          <w:lang w:val="en-US" w:eastAsia="zh-CN"/>
        </w:rPr>
        <w:t>)</w:t>
      </w:r>
      <w:r>
        <w:rPr>
          <w:rFonts w:hint="default" w:ascii="Times New Roman" w:hAnsi="Times New Roman" w:eastAsia="仿宋_GB2312" w:cs="Times New Roman"/>
          <w:spacing w:val="8"/>
          <w:kern w:val="0"/>
          <w:sz w:val="32"/>
          <w:szCs w:val="32"/>
        </w:rPr>
        <w:t>、政府信息资源的规范化、标准化管理情况</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根据上级部门对信息公开工作的新要求，按照最新的法律法规，调整并进一步规范了政务公开的重点内容，北京市丰台区水务局公开了《丰台区水务局政府信息主动公开全清单》，并结合水务系统内部建设，不断搞活信息公开的形式。通过政府网站的区水务局窗口，把本局的工作职责、机构设置、领导信息及常用法律法规和重要工作程序等内容予以公开，并将本单位年度工作重点、重点工作进展情况、工作动态等利用新闻、信息形式及时予以公开。</w:t>
      </w:r>
    </w:p>
    <w:p>
      <w:pPr>
        <w:widowControl/>
        <w:spacing w:line="560" w:lineRule="exact"/>
        <w:ind w:firstLine="675"/>
        <w:jc w:val="left"/>
        <w:rPr>
          <w:rFonts w:hint="default" w:ascii="Times New Roman" w:hAnsi="Times New Roman" w:eastAsia="仿宋_GB2312" w:cs="Times New Roman"/>
          <w:color w:val="auto"/>
          <w:spacing w:val="8"/>
          <w:kern w:val="0"/>
          <w:sz w:val="32"/>
          <w:szCs w:val="32"/>
        </w:rPr>
      </w:pPr>
      <w:r>
        <w:rPr>
          <w:rFonts w:hint="eastAsia" w:eastAsia="仿宋_GB2312" w:cs="Times New Roman"/>
          <w:spacing w:val="8"/>
          <w:kern w:val="0"/>
          <w:sz w:val="32"/>
          <w:szCs w:val="32"/>
          <w:lang w:val="en-US" w:eastAsia="zh-CN"/>
        </w:rPr>
        <w:t>(</w:t>
      </w:r>
      <w:r>
        <w:rPr>
          <w:rFonts w:hint="eastAsia" w:eastAsia="仿宋_GB2312" w:cs="Times New Roman"/>
          <w:color w:val="auto"/>
          <w:spacing w:val="8"/>
          <w:kern w:val="0"/>
          <w:sz w:val="32"/>
          <w:szCs w:val="32"/>
          <w:lang w:eastAsia="zh-CN"/>
        </w:rPr>
        <w:t>四</w:t>
      </w:r>
      <w:r>
        <w:rPr>
          <w:rFonts w:hint="eastAsia" w:eastAsia="仿宋_GB2312" w:cs="Times New Roman"/>
          <w:spacing w:val="8"/>
          <w:kern w:val="0"/>
          <w:sz w:val="32"/>
          <w:szCs w:val="32"/>
          <w:lang w:val="en-US" w:eastAsia="zh-CN"/>
        </w:rPr>
        <w:t>)</w:t>
      </w:r>
      <w:r>
        <w:rPr>
          <w:rFonts w:hint="default" w:ascii="Times New Roman" w:hAnsi="Times New Roman" w:eastAsia="仿宋_GB2312" w:cs="Times New Roman"/>
          <w:color w:val="auto"/>
          <w:spacing w:val="8"/>
          <w:kern w:val="0"/>
          <w:sz w:val="32"/>
          <w:szCs w:val="32"/>
        </w:rPr>
        <w:t>、政府信息公开平台建设情况</w:t>
      </w:r>
    </w:p>
    <w:p>
      <w:pPr>
        <w:widowControl/>
        <w:spacing w:line="560" w:lineRule="exact"/>
        <w:ind w:firstLine="675"/>
        <w:jc w:val="left"/>
        <w:rPr>
          <w:rFonts w:hint="default" w:ascii="Times New Roman" w:hAnsi="Times New Roman" w:eastAsia="仿宋_GB2312" w:cs="Times New Roman"/>
          <w:color w:val="FF0000"/>
          <w:spacing w:val="8"/>
          <w:kern w:val="0"/>
          <w:sz w:val="32"/>
          <w:szCs w:val="32"/>
        </w:rPr>
      </w:pPr>
      <w:r>
        <w:rPr>
          <w:rFonts w:hint="default" w:ascii="Times New Roman" w:hAnsi="Times New Roman" w:eastAsia="仿宋_GB2312" w:cs="Times New Roman"/>
          <w:color w:val="auto"/>
          <w:spacing w:val="8"/>
          <w:kern w:val="0"/>
          <w:sz w:val="32"/>
          <w:szCs w:val="32"/>
        </w:rPr>
        <w:t>按照《国务院办公厅政府信息与政务公开办公室关于规范政府信息公开平台有关事项的通知》（国办公开办函[2019]61号），北京市丰台区水务局利用丰台区政府网站水务局窗口，公开《政府信息公开指南》、《丰台区水务局政府信息主动公开全清单》。按照《中华人民共和国政府信息公开条例》规定，及时公开法定需主动公开的内容。</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eastAsia" w:eastAsia="仿宋_GB2312" w:cs="Times New Roman"/>
          <w:spacing w:val="8"/>
          <w:kern w:val="0"/>
          <w:sz w:val="32"/>
          <w:szCs w:val="32"/>
          <w:lang w:val="en-US" w:eastAsia="zh-CN"/>
        </w:rPr>
        <w:t>(五)</w:t>
      </w:r>
      <w:r>
        <w:rPr>
          <w:rFonts w:hint="default" w:ascii="Times New Roman" w:hAnsi="Times New Roman" w:eastAsia="仿宋_GB2312" w:cs="Times New Roman"/>
          <w:spacing w:val="8"/>
          <w:kern w:val="0"/>
          <w:sz w:val="32"/>
          <w:szCs w:val="32"/>
        </w:rPr>
        <w:t>、政府信息公开监督保障及教育培训情况</w:t>
      </w:r>
    </w:p>
    <w:p>
      <w:pPr>
        <w:widowControl/>
        <w:spacing w:line="560" w:lineRule="exact"/>
        <w:ind w:firstLine="675"/>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北京市丰台区水务局积极选派人员参加各类相关的培训、交流活动，提高信息公开相关的工作能力。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pacing w:val="8"/>
          <w:kern w:val="0"/>
          <w:sz w:val="32"/>
          <w:szCs w:val="32"/>
          <w:lang w:val="en-US" w:eastAsia="zh-CN"/>
        </w:rPr>
        <w:t>(</w:t>
      </w:r>
      <w:r>
        <w:rPr>
          <w:rFonts w:hint="eastAsia" w:eastAsia="仿宋_GB2312" w:cs="Times New Roman"/>
          <w:spacing w:val="8"/>
          <w:kern w:val="0"/>
          <w:sz w:val="32"/>
          <w:szCs w:val="32"/>
          <w:lang w:val="en-US" w:eastAsia="zh-CN"/>
        </w:rPr>
        <w:t>六</w:t>
      </w:r>
      <w:r>
        <w:rPr>
          <w:rFonts w:hint="eastAsia" w:ascii="Times New Roman" w:hAnsi="Times New Roman" w:eastAsia="仿宋_GB2312" w:cs="Times New Roman"/>
          <w:spacing w:val="8"/>
          <w:kern w:val="0"/>
          <w:sz w:val="32"/>
          <w:szCs w:val="32"/>
          <w:lang w:val="en-US" w:eastAsia="zh-CN"/>
        </w:rPr>
        <w:t>)</w:t>
      </w:r>
      <w:r>
        <w:rPr>
          <w:rFonts w:hint="default" w:ascii="Times New Roman" w:hAnsi="Times New Roman" w:eastAsia="仿宋_GB2312" w:cs="Times New Roman"/>
          <w:spacing w:val="8"/>
          <w:kern w:val="0"/>
          <w:sz w:val="32"/>
          <w:szCs w:val="32"/>
        </w:rPr>
        <w:t>、</w:t>
      </w:r>
      <w:r>
        <w:rPr>
          <w:rFonts w:hint="eastAsia" w:ascii="仿宋_GB2312" w:hAnsi="仿宋_GB2312" w:eastAsia="仿宋_GB2312" w:cs="仿宋_GB2312"/>
          <w:sz w:val="32"/>
          <w:szCs w:val="32"/>
        </w:rPr>
        <w:t>北京市丰台区2021年政务公开工作要点</w:t>
      </w:r>
      <w:r>
        <w:rPr>
          <w:rFonts w:hint="eastAsia" w:ascii="仿宋_GB2312" w:hAnsi="仿宋_GB2312" w:eastAsia="仿宋_GB2312" w:cs="仿宋_GB2312"/>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围绕“十四五”政府重点工作，</w:t>
      </w:r>
      <w:r>
        <w:rPr>
          <w:rFonts w:ascii="仿宋_GB2312" w:hAnsi="仿宋_GB2312" w:eastAsia="仿宋_GB2312" w:cs="仿宋_GB2312"/>
          <w:sz w:val="32"/>
          <w:szCs w:val="32"/>
        </w:rPr>
        <w:t>加强了</w:t>
      </w:r>
      <w:r>
        <w:rPr>
          <w:rFonts w:hint="eastAsia" w:ascii="仿宋_GB2312" w:hAnsi="仿宋_GB2312" w:eastAsia="仿宋_GB2312" w:cs="仿宋_GB2312"/>
          <w:sz w:val="32"/>
          <w:szCs w:val="32"/>
        </w:rPr>
        <w:t>过程公开工作，已在区政府网站及时公示了永定河生态治理、河西第二水厂项目建设和污水处理设施升级完善情况。</w:t>
      </w:r>
    </w:p>
    <w:p>
      <w:pPr>
        <w:pStyle w:val="2"/>
        <w:rPr>
          <w:rFonts w:hint="eastAsia" w:eastAsia="仿宋_GB2312"/>
          <w:lang w:val="en-US" w:eastAsia="zh-CN"/>
        </w:rPr>
      </w:pPr>
    </w:p>
    <w:p>
      <w:pPr>
        <w:pStyle w:val="2"/>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13"/>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现行有效件</w:t>
            </w:r>
            <w:r>
              <w:rPr>
                <w:rFonts w:hint="default" w:ascii="Times New Roman" w:hAnsi="Times New Roman" w:cs="Times New Roman"/>
                <w:kern w:val="0"/>
                <w:sz w:val="21"/>
                <w:szCs w:val="21"/>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441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本年处理决定数量</w:t>
            </w:r>
          </w:p>
        </w:tc>
      </w:tr>
      <w:tr>
        <w:tblPrEx>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34</w:t>
            </w:r>
            <w:r>
              <w:rPr>
                <w:rFonts w:hint="eastAsia" w:ascii="Times New Roman" w:hAnsi="Times New Roman" w:cs="Times New Roman"/>
                <w:sz w:val="21"/>
                <w:szCs w:val="21"/>
                <w:lang w:val="en-US" w:eastAsia="zh-CN"/>
              </w:rPr>
              <w:t>2</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bl>
    <w:p>
      <w:pPr>
        <w:pStyle w:val="2"/>
        <w:rPr>
          <w:rFonts w:hint="eastAsia"/>
        </w:rPr>
      </w:pPr>
    </w:p>
    <w:p>
      <w:pPr>
        <w:pStyle w:val="2"/>
        <w:rPr>
          <w:rFonts w:hint="eastAsia"/>
        </w:rPr>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12"/>
        <w:widowControl/>
        <w:shd w:val="clear" w:color="auto" w:fill="FFFFFF"/>
        <w:spacing w:before="0" w:beforeAutospacing="0" w:after="0" w:afterAutospacing="0"/>
        <w:ind w:firstLine="420"/>
        <w:jc w:val="both"/>
        <w:rPr>
          <w:rFonts w:hint="eastAsia" w:ascii="宋体" w:hAnsi="宋体" w:cs="宋体"/>
          <w:color w:val="333333"/>
        </w:rPr>
      </w:pPr>
    </w:p>
    <w:tbl>
      <w:tblPr>
        <w:tblStyle w:val="1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jc w:val="left"/>
              <w:rPr>
                <w:sz w:val="21"/>
                <w:szCs w:val="21"/>
              </w:rPr>
            </w:pPr>
            <w:r>
              <w:rPr>
                <w:rFonts w:ascii="楷体" w:hAnsi="楷体" w:eastAsia="楷体" w:cs="楷体"/>
                <w:kern w:val="0"/>
                <w:sz w:val="21"/>
                <w:szCs w:val="21"/>
                <w:lang w:bidi="ar"/>
              </w:rPr>
              <w:t>（本列数据的勾稽关系为：第一项加第二项之和，等于第三项加第四项之和）</w:t>
            </w:r>
          </w:p>
        </w:tc>
        <w:tc>
          <w:tcPr>
            <w:tcW w:w="4817"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1"/>
                <w:szCs w:val="21"/>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1"/>
                <w:szCs w:val="21"/>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1"/>
                <w:szCs w:val="21"/>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商业</w:t>
            </w:r>
          </w:p>
          <w:p>
            <w:pPr>
              <w:widowControl/>
              <w:jc w:val="center"/>
              <w:rPr>
                <w:sz w:val="21"/>
                <w:szCs w:val="21"/>
              </w:rPr>
            </w:pPr>
            <w:r>
              <w:rPr>
                <w:rFonts w:hint="eastAsia" w:ascii="宋体" w:hAnsi="宋体" w:cs="宋体"/>
                <w:kern w:val="0"/>
                <w:sz w:val="21"/>
                <w:szCs w:val="21"/>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科研</w:t>
            </w:r>
          </w:p>
          <w:p>
            <w:pPr>
              <w:widowControl/>
              <w:jc w:val="center"/>
              <w:rPr>
                <w:sz w:val="21"/>
                <w:szCs w:val="21"/>
              </w:rPr>
            </w:pPr>
            <w:r>
              <w:rPr>
                <w:rFonts w:hint="eastAsia" w:ascii="宋体" w:hAnsi="宋体" w:cs="宋体"/>
                <w:kern w:val="0"/>
                <w:sz w:val="21"/>
                <w:szCs w:val="21"/>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sz w:val="21"/>
                <w:szCs w:val="21"/>
              </w:rPr>
            </w:pPr>
            <w:r>
              <w:rPr>
                <w:rFonts w:hint="eastAsia" w:ascii="宋体" w:hAnsi="宋体" w:cs="宋体"/>
                <w:kern w:val="0"/>
                <w:sz w:val="21"/>
                <w:szCs w:val="21"/>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15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cs="Times New Roman"/>
                <w:kern w:val="0"/>
                <w:sz w:val="21"/>
                <w:szCs w:val="21"/>
                <w:lang w:val="en-US" w:eastAsia="zh-CN" w:bidi="ar"/>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doub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（二）部分公开</w:t>
            </w:r>
            <w:r>
              <w:rPr>
                <w:rFonts w:ascii="楷体" w:hAnsi="楷体" w:eastAsia="楷体" w:cs="楷体"/>
                <w:kern w:val="0"/>
                <w:sz w:val="21"/>
                <w:szCs w:val="21"/>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double" w:color="auto" w:sz="0"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1"/>
                <w:szCs w:val="21"/>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sz w:val="21"/>
                <w:szCs w:val="21"/>
              </w:rPr>
            </w:pPr>
            <w:r>
              <w:rPr>
                <w:rFonts w:hint="eastAsia" w:ascii="宋体" w:hAnsi="宋体" w:cs="宋体"/>
                <w:kern w:val="0"/>
                <w:sz w:val="21"/>
                <w:szCs w:val="21"/>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rPr>
                <w:sz w:val="21"/>
                <w:szCs w:val="21"/>
              </w:rPr>
            </w:pPr>
            <w:r>
              <w:rPr>
                <w:rFonts w:hint="eastAsia" w:ascii="宋体" w:hAnsi="宋体" w:cs="宋体"/>
                <w:kern w:val="0"/>
                <w:sz w:val="21"/>
                <w:szCs w:val="21"/>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rPr>
                <w:sz w:val="21"/>
                <w:szCs w:val="21"/>
              </w:rPr>
            </w:pPr>
            <w:r>
              <w:rPr>
                <w:rFonts w:hint="eastAsia" w:ascii="宋体" w:hAnsi="宋体" w:cs="宋体"/>
                <w:kern w:val="0"/>
                <w:sz w:val="21"/>
                <w:szCs w:val="21"/>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rPr>
                <w:sz w:val="21"/>
                <w:szCs w:val="21"/>
              </w:rPr>
            </w:pPr>
            <w:r>
              <w:rPr>
                <w:rFonts w:hint="eastAsia" w:ascii="宋体" w:hAnsi="宋体" w:cs="宋体"/>
                <w:kern w:val="0"/>
                <w:sz w:val="21"/>
                <w:szCs w:val="21"/>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1"/>
                <w:szCs w:val="21"/>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1"/>
                <w:szCs w:val="21"/>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w:t>
            </w:r>
          </w:p>
        </w:tc>
        <w:tc>
          <w:tcPr>
            <w:tcW w:w="689" w:type="dxa"/>
            <w:tcBorders>
              <w:top w:val="double" w:color="auto" w:sz="0"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sz w:val="21"/>
                <w:szCs w:val="21"/>
              </w:rPr>
            </w:pPr>
            <w:r>
              <w:rPr>
                <w:rFonts w:hint="eastAsia" w:ascii="宋体" w:hAnsi="宋体" w:cs="宋体"/>
                <w:kern w:val="0"/>
                <w:sz w:val="21"/>
                <w:szCs w:val="21"/>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r>
    </w:tbl>
    <w:p>
      <w:pPr>
        <w:pStyle w:val="2"/>
        <w:ind w:left="640" w:leftChars="200"/>
        <w:rPr>
          <w:rFonts w:hint="eastAsia"/>
        </w:rPr>
      </w:pPr>
    </w:p>
    <w:p>
      <w:pPr>
        <w:pStyle w:val="2"/>
        <w:ind w:left="64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结果</w:t>
            </w:r>
            <w:r>
              <w:rPr>
                <w:rFonts w:hint="eastAsia" w:ascii="宋体" w:hAnsi="宋体" w:cs="宋体"/>
                <w:kern w:val="0"/>
                <w:sz w:val="21"/>
                <w:szCs w:val="21"/>
                <w:lang w:bidi="ar"/>
              </w:rPr>
              <w:br w:type="textWrapping"/>
            </w:r>
            <w:r>
              <w:rPr>
                <w:rFonts w:hint="eastAsia" w:ascii="宋体" w:hAnsi="宋体" w:cs="宋体"/>
                <w:kern w:val="0"/>
                <w:sz w:val="21"/>
                <w:szCs w:val="21"/>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其他</w:t>
            </w:r>
            <w:r>
              <w:rPr>
                <w:rFonts w:hint="eastAsia" w:ascii="宋体" w:hAnsi="宋体" w:cs="宋体"/>
                <w:kern w:val="0"/>
                <w:sz w:val="21"/>
                <w:szCs w:val="21"/>
                <w:lang w:bidi="ar"/>
              </w:rPr>
              <w:br w:type="textWrapping"/>
            </w:r>
            <w:r>
              <w:rPr>
                <w:rFonts w:hint="eastAsia" w:ascii="宋体" w:hAnsi="宋体" w:cs="宋体"/>
                <w:kern w:val="0"/>
                <w:sz w:val="21"/>
                <w:szCs w:val="21"/>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尚未</w:t>
            </w:r>
            <w:r>
              <w:rPr>
                <w:rFonts w:hint="eastAsia" w:ascii="宋体" w:hAnsi="宋体" w:cs="宋体"/>
                <w:kern w:val="0"/>
                <w:sz w:val="21"/>
                <w:szCs w:val="21"/>
                <w:lang w:bidi="ar"/>
              </w:rPr>
              <w:br w:type="textWrapping"/>
            </w:r>
            <w:r>
              <w:rPr>
                <w:rFonts w:hint="eastAsia" w:ascii="宋体" w:hAnsi="宋体" w:cs="宋体"/>
                <w:kern w:val="0"/>
                <w:sz w:val="21"/>
                <w:szCs w:val="21"/>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1"/>
                <w:szCs w:val="21"/>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1"/>
                <w:szCs w:val="21"/>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1"/>
                <w:szCs w:val="21"/>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1"/>
                <w:szCs w:val="21"/>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1"/>
                <w:szCs w:val="21"/>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结果</w:t>
            </w:r>
            <w:r>
              <w:rPr>
                <w:rFonts w:hint="eastAsia" w:ascii="宋体" w:hAnsi="宋体" w:cs="宋体"/>
                <w:kern w:val="0"/>
                <w:sz w:val="21"/>
                <w:szCs w:val="21"/>
                <w:lang w:bidi="ar"/>
              </w:rPr>
              <w:br w:type="textWrapping"/>
            </w:r>
            <w:r>
              <w:rPr>
                <w:rFonts w:hint="eastAsia" w:ascii="宋体" w:hAnsi="宋体" w:cs="宋体"/>
                <w:kern w:val="0"/>
                <w:sz w:val="21"/>
                <w:szCs w:val="21"/>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结果</w:t>
            </w:r>
            <w:r>
              <w:rPr>
                <w:rFonts w:hint="eastAsia" w:ascii="宋体" w:hAnsi="宋体" w:cs="宋体"/>
                <w:kern w:val="0"/>
                <w:sz w:val="21"/>
                <w:szCs w:val="21"/>
                <w:lang w:bidi="ar"/>
              </w:rPr>
              <w:br w:type="textWrapping"/>
            </w:r>
            <w:r>
              <w:rPr>
                <w:rFonts w:hint="eastAsia" w:ascii="宋体" w:hAnsi="宋体" w:cs="宋体"/>
                <w:kern w:val="0"/>
                <w:sz w:val="21"/>
                <w:szCs w:val="21"/>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其他</w:t>
            </w:r>
            <w:r>
              <w:rPr>
                <w:rFonts w:hint="eastAsia" w:ascii="宋体" w:hAnsi="宋体" w:cs="宋体"/>
                <w:kern w:val="0"/>
                <w:sz w:val="21"/>
                <w:szCs w:val="21"/>
                <w:lang w:bidi="ar"/>
              </w:rPr>
              <w:br w:type="textWrapping"/>
            </w:r>
            <w:r>
              <w:rPr>
                <w:rFonts w:hint="eastAsia" w:ascii="宋体" w:hAnsi="宋体" w:cs="宋体"/>
                <w:kern w:val="0"/>
                <w:sz w:val="21"/>
                <w:szCs w:val="21"/>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尚未</w:t>
            </w:r>
            <w:r>
              <w:rPr>
                <w:rFonts w:hint="eastAsia" w:ascii="宋体" w:hAnsi="宋体" w:cs="宋体"/>
                <w:kern w:val="0"/>
                <w:sz w:val="21"/>
                <w:szCs w:val="21"/>
                <w:lang w:bidi="ar"/>
              </w:rPr>
              <w:br w:type="textWrapping"/>
            </w:r>
            <w:r>
              <w:rPr>
                <w:rFonts w:hint="eastAsia" w:ascii="宋体" w:hAnsi="宋体" w:cs="宋体"/>
                <w:kern w:val="0"/>
                <w:sz w:val="21"/>
                <w:szCs w:val="21"/>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color w:val="000000"/>
                <w:kern w:val="0"/>
                <w:sz w:val="21"/>
                <w:szCs w:val="21"/>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结果</w:t>
            </w:r>
            <w:r>
              <w:rPr>
                <w:rFonts w:hint="eastAsia" w:ascii="宋体" w:hAnsi="宋体" w:cs="宋体"/>
                <w:kern w:val="0"/>
                <w:sz w:val="21"/>
                <w:szCs w:val="21"/>
                <w:lang w:bidi="ar"/>
              </w:rPr>
              <w:br w:type="textWrapping"/>
            </w:r>
            <w:r>
              <w:rPr>
                <w:rFonts w:hint="eastAsia" w:ascii="宋体" w:hAnsi="宋体" w:cs="宋体"/>
                <w:kern w:val="0"/>
                <w:sz w:val="21"/>
                <w:szCs w:val="21"/>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结果</w:t>
            </w:r>
            <w:r>
              <w:rPr>
                <w:rFonts w:hint="eastAsia" w:ascii="宋体" w:hAnsi="宋体" w:cs="宋体"/>
                <w:kern w:val="0"/>
                <w:sz w:val="21"/>
                <w:szCs w:val="21"/>
                <w:lang w:bidi="ar"/>
              </w:rPr>
              <w:br w:type="textWrapping"/>
            </w:r>
            <w:r>
              <w:rPr>
                <w:rFonts w:hint="eastAsia" w:ascii="宋体" w:hAnsi="宋体" w:cs="宋体"/>
                <w:kern w:val="0"/>
                <w:sz w:val="21"/>
                <w:szCs w:val="21"/>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color w:val="000000"/>
                <w:kern w:val="0"/>
                <w:sz w:val="21"/>
                <w:szCs w:val="21"/>
                <w:lang w:bidi="ar"/>
              </w:rPr>
              <w:t>其他</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kern w:val="0"/>
                <w:sz w:val="21"/>
                <w:szCs w:val="21"/>
                <w:lang w:bidi="ar"/>
              </w:rPr>
              <w:t>尚未</w:t>
            </w:r>
            <w:r>
              <w:rPr>
                <w:rFonts w:hint="eastAsia" w:ascii="宋体" w:hAnsi="宋体" w:cs="宋体"/>
                <w:kern w:val="0"/>
                <w:sz w:val="21"/>
                <w:szCs w:val="21"/>
                <w:lang w:bidi="ar"/>
              </w:rPr>
              <w:br w:type="textWrapping"/>
            </w:r>
            <w:r>
              <w:rPr>
                <w:rFonts w:hint="eastAsia" w:ascii="宋体" w:hAnsi="宋体" w:cs="宋体"/>
                <w:kern w:val="0"/>
                <w:sz w:val="21"/>
                <w:szCs w:val="21"/>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sz w:val="21"/>
                <w:szCs w:val="21"/>
              </w:rPr>
            </w:pPr>
            <w:r>
              <w:rPr>
                <w:rFonts w:hint="eastAsia" w:ascii="宋体" w:hAnsi="宋体" w:cs="宋体"/>
                <w:color w:val="000000"/>
                <w:kern w:val="0"/>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kern w:val="0"/>
                <w:sz w:val="21"/>
                <w:szCs w:val="21"/>
                <w:lang w:val="en-US" w:eastAsia="zh-CN" w:bidi="ar"/>
              </w:rPr>
              <w:t>4</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rPr>
        <w:t>1、信息公开相关政策、法律法规理解方面</w:t>
      </w:r>
      <w:r>
        <w:rPr>
          <w:rFonts w:hint="eastAsia" w:ascii="Times New Roman" w:hAnsi="Times New Roman" w:eastAsia="仿宋_GB2312" w:cs="Times New Roman"/>
          <w:spacing w:val="8"/>
          <w:kern w:val="0"/>
          <w:sz w:val="32"/>
          <w:szCs w:val="32"/>
          <w:lang w:eastAsia="zh-CN"/>
        </w:rPr>
        <w:t>，</w:t>
      </w:r>
      <w:r>
        <w:rPr>
          <w:rFonts w:hint="eastAsia" w:eastAsia="仿宋_GB2312" w:cs="Times New Roman"/>
          <w:spacing w:val="8"/>
          <w:kern w:val="0"/>
          <w:sz w:val="32"/>
          <w:szCs w:val="32"/>
          <w:lang w:eastAsia="zh-CN"/>
        </w:rPr>
        <w:t>结合区司法局《关于行政执法公示存在的问题反馈进行整改落实的通知》</w:t>
      </w:r>
      <w:r>
        <w:rPr>
          <w:rFonts w:hint="default" w:ascii="Times New Roman" w:hAnsi="Times New Roman" w:eastAsia="仿宋_GB2312" w:cs="Times New Roman"/>
          <w:spacing w:val="8"/>
          <w:kern w:val="0"/>
          <w:sz w:val="32"/>
          <w:szCs w:val="32"/>
        </w:rPr>
        <w:t>，提高依法规范公开政府信息能力，</w:t>
      </w:r>
      <w:r>
        <w:rPr>
          <w:rFonts w:hint="eastAsia" w:eastAsia="仿宋_GB2312" w:cs="Times New Roman"/>
          <w:spacing w:val="8"/>
          <w:kern w:val="0"/>
          <w:sz w:val="32"/>
          <w:szCs w:val="32"/>
          <w:lang w:eastAsia="zh-CN"/>
        </w:rPr>
        <w:t>进行全面整改。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针对</w:t>
      </w:r>
      <w:r>
        <w:rPr>
          <w:rFonts w:hint="eastAsia" w:ascii="仿宋_GB2312" w:hAnsi="仿宋_GB2312" w:eastAsia="仿宋_GB2312" w:cs="仿宋_GB2312"/>
          <w:sz w:val="32"/>
          <w:szCs w:val="32"/>
        </w:rPr>
        <w:t>专栏页面里的电话没有加区号的</w:t>
      </w:r>
      <w:r>
        <w:rPr>
          <w:rFonts w:ascii="仿宋_GB2312" w:hAnsi="仿宋_GB2312" w:eastAsia="仿宋_GB2312" w:cs="仿宋_GB2312"/>
          <w:sz w:val="32"/>
          <w:szCs w:val="32"/>
        </w:rPr>
        <w:t>问题，我局及时进行了整改。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工作时间需要</w:t>
      </w:r>
      <w:r>
        <w:rPr>
          <w:rFonts w:ascii="仿宋_GB2312" w:hAnsi="仿宋_GB2312" w:eastAsia="仿宋_GB2312" w:cs="仿宋_GB2312"/>
          <w:sz w:val="32"/>
          <w:szCs w:val="32"/>
        </w:rPr>
        <w:t>进一步明确问题，我局已经</w:t>
      </w:r>
      <w:r>
        <w:rPr>
          <w:rFonts w:hint="eastAsia" w:ascii="仿宋_GB2312" w:hAnsi="仿宋_GB2312" w:eastAsia="仿宋_GB2312" w:cs="仿宋_GB2312"/>
          <w:sz w:val="32"/>
          <w:szCs w:val="32"/>
        </w:rPr>
        <w:t>调整</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“工作日（国家法定节假日除外）”。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电话无人接听问题，我局已</w:t>
      </w:r>
      <w:r>
        <w:rPr>
          <w:rFonts w:hint="eastAsia" w:ascii="仿宋_GB2312" w:hAnsi="仿宋_GB2312" w:eastAsia="仿宋_GB2312" w:cs="仿宋_GB2312"/>
          <w:sz w:val="32"/>
          <w:szCs w:val="32"/>
        </w:rPr>
        <w:t>加强</w:t>
      </w:r>
      <w:r>
        <w:rPr>
          <w:rFonts w:ascii="仿宋_GB2312" w:hAnsi="仿宋_GB2312" w:eastAsia="仿宋_GB2312" w:cs="仿宋_GB2312"/>
          <w:sz w:val="32"/>
          <w:szCs w:val="32"/>
        </w:rPr>
        <w:t>值班值守，确保值班电话随时有人接</w:t>
      </w:r>
      <w:r>
        <w:rPr>
          <w:rFonts w:hint="eastAsia" w:ascii="仿宋_GB2312" w:hAnsi="仿宋_GB2312" w:eastAsia="仿宋_GB2312" w:cs="仿宋_GB2312"/>
          <w:sz w:val="32"/>
          <w:szCs w:val="32"/>
        </w:rPr>
        <w:t>听</w:t>
      </w:r>
      <w:r>
        <w:rPr>
          <w:rFonts w:ascii="仿宋_GB2312" w:hAnsi="仿宋_GB2312" w:eastAsia="仿宋_GB2312" w:cs="仿宋_GB2312"/>
          <w:sz w:val="32"/>
          <w:szCs w:val="32"/>
        </w:rPr>
        <w:t>，并及时处理相关诉求和需求。</w:t>
      </w:r>
    </w:p>
    <w:p>
      <w:pPr>
        <w:pStyle w:val="2"/>
        <w:rPr>
          <w:rFonts w:hint="default"/>
        </w:rPr>
      </w:pP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w:t>
      </w:r>
      <w:bookmarkStart w:id="0" w:name="_GoBack"/>
      <w:bookmarkEnd w:id="0"/>
      <w:r>
        <w:rPr>
          <w:rFonts w:ascii="黑体" w:hAnsi="黑体" w:eastAsia="黑体" w:cs="宋体"/>
          <w:spacing w:val="8"/>
          <w:kern w:val="0"/>
          <w:sz w:val="32"/>
          <w:szCs w:val="32"/>
        </w:rPr>
        <w:t>、其他需要报告的事项</w:t>
      </w:r>
    </w:p>
    <w:p>
      <w:pPr>
        <w:widowControl/>
        <w:spacing w:line="560" w:lineRule="exact"/>
        <w:jc w:val="left"/>
        <w:rPr>
          <w:rFonts w:hint="eastAsia" w:ascii="Times New Roman" w:hAnsi="Times New Roman" w:eastAsia="仿宋_GB2312" w:cs="Times New Roman"/>
          <w:color w:val="9BC2E6"/>
          <w:spacing w:val="8"/>
          <w:kern w:val="0"/>
          <w:sz w:val="32"/>
          <w:szCs w:val="32"/>
          <w:lang w:eastAsia="zh-CN"/>
        </w:rPr>
      </w:pPr>
      <w:r>
        <w:rPr>
          <w:rFonts w:ascii="宋体" w:hAnsi="宋体" w:cs="宋体"/>
          <w:spacing w:val="8"/>
          <w:kern w:val="0"/>
          <w:sz w:val="32"/>
          <w:szCs w:val="32"/>
        </w:rPr>
        <w:t>　　</w:t>
      </w:r>
      <w:r>
        <w:rPr>
          <w:rFonts w:hint="default" w:ascii="Times New Roman" w:hAnsi="Times New Roman" w:eastAsia="仿宋_GB2312" w:cs="Times New Roman"/>
          <w:spacing w:val="8"/>
          <w:kern w:val="0"/>
          <w:sz w:val="32"/>
          <w:szCs w:val="32"/>
        </w:rPr>
        <w:t>发出收费通知的件数和总金额以及实际收取的总金额均为0</w:t>
      </w:r>
      <w:r>
        <w:rPr>
          <w:rFonts w:hint="eastAsia"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北京市丰台区水务局门户网站网址为http://www.bjft.gov.cn/ftq/xxfb/zwxx_tjtb.shtml，如需了解更多政府信息，请登录查询。</w:t>
      </w:r>
    </w:p>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spacing w:line="560" w:lineRule="exact"/>
        <w:jc w:val="center"/>
        <w:rPr>
          <w:rFonts w:hint="default" w:ascii="仿宋_GB2312" w:eastAsia="仿宋_GB2312"/>
          <w:sz w:val="32"/>
          <w:szCs w:val="32"/>
          <w:lang w:val="en-US" w:eastAsia="zh-CN"/>
        </w:rPr>
      </w:pPr>
      <w:r>
        <w:rPr>
          <w:rFonts w:hint="eastAsia"/>
          <w:lang w:val="en-US" w:eastAsia="zh-CN"/>
        </w:rPr>
        <w:t xml:space="preserve">                                  </w:t>
      </w:r>
    </w:p>
    <w:sectPr>
      <w:footerReference r:id="rId3" w:type="default"/>
      <w:footerReference r:id="rId4" w:type="even"/>
      <w:endnotePr>
        <w:numFmt w:val="decimal"/>
      </w:endnotePr>
      <w:pgSz w:w="11907" w:h="16840"/>
      <w:pgMar w:top="2098" w:right="1474" w:bottom="1984" w:left="1588" w:header="851" w:footer="737" w:gutter="0"/>
      <w:pgNumType w:fmt="numberInDash"/>
      <w:cols w:space="72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Pr>
    <w:r>
      <w:rPr>
        <w:rStyle w:val="15"/>
        <w:rFonts w:hint="eastAsia"/>
        <w:sz w:val="28"/>
        <w:szCs w:val="28"/>
      </w:rPr>
      <w:t>—</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- 3 -</w:t>
    </w:r>
    <w:r>
      <w:rPr>
        <w:rFonts w:ascii="宋体" w:hAnsi="宋体"/>
        <w:sz w:val="28"/>
        <w:szCs w:val="28"/>
        <w:lang w:eastAsia="en-US"/>
      </w:rPr>
      <w:fldChar w:fldCharType="end"/>
    </w:r>
    <w:r>
      <w:rPr>
        <w:rStyle w:val="15"/>
        <w:rFonts w:hint="eastAsia"/>
        <w:sz w:val="28"/>
        <w:szCs w:val="28"/>
      </w:rPr>
      <w:t xml:space="preserve">—  </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04238"/>
      <w:docPartObj>
        <w:docPartGallery w:val="autotext"/>
      </w:docPartObj>
    </w:sdtPr>
    <w:sdtEndPr>
      <w:rPr>
        <w:rFonts w:ascii="宋体" w:hAnsi="宋体"/>
        <w:sz w:val="28"/>
        <w:szCs w:val="28"/>
      </w:rPr>
    </w:sdtEndPr>
    <w:sdtContent>
      <w:p>
        <w:pPr>
          <w:pStyle w:val="9"/>
          <w:ind w:right="36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9"/>
      <w:ind w:right="360" w:firstLine="360"/>
      <w:rPr>
        <w:rFonts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20"/>
  <w:drawingGridVerticalSpacing w:val="579"/>
  <w:displayHorizontalDrawingGridEvery w:val="2"/>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03"/>
    <w:rsid w:val="0001426C"/>
    <w:rsid w:val="00016E78"/>
    <w:rsid w:val="00020F05"/>
    <w:rsid w:val="000413F4"/>
    <w:rsid w:val="00045278"/>
    <w:rsid w:val="0005437D"/>
    <w:rsid w:val="00055570"/>
    <w:rsid w:val="0006405F"/>
    <w:rsid w:val="00065816"/>
    <w:rsid w:val="00073446"/>
    <w:rsid w:val="00081512"/>
    <w:rsid w:val="0008254A"/>
    <w:rsid w:val="00090BFB"/>
    <w:rsid w:val="00097419"/>
    <w:rsid w:val="000A7221"/>
    <w:rsid w:val="000B42F6"/>
    <w:rsid w:val="000D012C"/>
    <w:rsid w:val="000D58E0"/>
    <w:rsid w:val="000E3E26"/>
    <w:rsid w:val="000F3971"/>
    <w:rsid w:val="00122D5A"/>
    <w:rsid w:val="00125701"/>
    <w:rsid w:val="00127136"/>
    <w:rsid w:val="0013069E"/>
    <w:rsid w:val="001332BD"/>
    <w:rsid w:val="00155DE1"/>
    <w:rsid w:val="00156B3A"/>
    <w:rsid w:val="00165368"/>
    <w:rsid w:val="001734DA"/>
    <w:rsid w:val="001A3267"/>
    <w:rsid w:val="001A5AEE"/>
    <w:rsid w:val="001A77E6"/>
    <w:rsid w:val="001E17A1"/>
    <w:rsid w:val="00212226"/>
    <w:rsid w:val="00213BF6"/>
    <w:rsid w:val="00233BA4"/>
    <w:rsid w:val="0023443F"/>
    <w:rsid w:val="00251AAA"/>
    <w:rsid w:val="002526DD"/>
    <w:rsid w:val="00266485"/>
    <w:rsid w:val="00267E47"/>
    <w:rsid w:val="00281DE5"/>
    <w:rsid w:val="00283696"/>
    <w:rsid w:val="00283A80"/>
    <w:rsid w:val="00285E68"/>
    <w:rsid w:val="00297DDD"/>
    <w:rsid w:val="002A3ED2"/>
    <w:rsid w:val="002B6C09"/>
    <w:rsid w:val="002B7B3D"/>
    <w:rsid w:val="002D1F41"/>
    <w:rsid w:val="002E4D58"/>
    <w:rsid w:val="0030750B"/>
    <w:rsid w:val="00310446"/>
    <w:rsid w:val="00312243"/>
    <w:rsid w:val="00315D19"/>
    <w:rsid w:val="0031609C"/>
    <w:rsid w:val="00321015"/>
    <w:rsid w:val="0032207F"/>
    <w:rsid w:val="00323D2B"/>
    <w:rsid w:val="00324F78"/>
    <w:rsid w:val="00350EBE"/>
    <w:rsid w:val="00375EDD"/>
    <w:rsid w:val="00383767"/>
    <w:rsid w:val="00384B5C"/>
    <w:rsid w:val="00392EC2"/>
    <w:rsid w:val="0039458C"/>
    <w:rsid w:val="00395504"/>
    <w:rsid w:val="003A132A"/>
    <w:rsid w:val="003A2C54"/>
    <w:rsid w:val="003B34D1"/>
    <w:rsid w:val="003C56CF"/>
    <w:rsid w:val="003C72CA"/>
    <w:rsid w:val="003D4CA2"/>
    <w:rsid w:val="003D7951"/>
    <w:rsid w:val="00405CAE"/>
    <w:rsid w:val="00434709"/>
    <w:rsid w:val="00440D30"/>
    <w:rsid w:val="0044222A"/>
    <w:rsid w:val="004526F4"/>
    <w:rsid w:val="00455CC0"/>
    <w:rsid w:val="00457C1A"/>
    <w:rsid w:val="004814EC"/>
    <w:rsid w:val="004A3A8A"/>
    <w:rsid w:val="004A4DAA"/>
    <w:rsid w:val="004A596F"/>
    <w:rsid w:val="004B3FD9"/>
    <w:rsid w:val="004B548D"/>
    <w:rsid w:val="005058F9"/>
    <w:rsid w:val="00536B93"/>
    <w:rsid w:val="00537291"/>
    <w:rsid w:val="0054593D"/>
    <w:rsid w:val="00571640"/>
    <w:rsid w:val="00573BBE"/>
    <w:rsid w:val="00586F0A"/>
    <w:rsid w:val="005A1332"/>
    <w:rsid w:val="005C4885"/>
    <w:rsid w:val="005C6CFF"/>
    <w:rsid w:val="005D3EA6"/>
    <w:rsid w:val="005D5F41"/>
    <w:rsid w:val="005E402C"/>
    <w:rsid w:val="005F07CB"/>
    <w:rsid w:val="006109F5"/>
    <w:rsid w:val="00616C17"/>
    <w:rsid w:val="006258DD"/>
    <w:rsid w:val="00626B04"/>
    <w:rsid w:val="00641F35"/>
    <w:rsid w:val="00664950"/>
    <w:rsid w:val="0066547E"/>
    <w:rsid w:val="00673424"/>
    <w:rsid w:val="00694DA9"/>
    <w:rsid w:val="00696A94"/>
    <w:rsid w:val="00697A4A"/>
    <w:rsid w:val="00697DAC"/>
    <w:rsid w:val="006A0D17"/>
    <w:rsid w:val="006A1900"/>
    <w:rsid w:val="006A3CDB"/>
    <w:rsid w:val="006B1B1B"/>
    <w:rsid w:val="006B4E27"/>
    <w:rsid w:val="006D23C4"/>
    <w:rsid w:val="006E5C33"/>
    <w:rsid w:val="00700CC2"/>
    <w:rsid w:val="007103C2"/>
    <w:rsid w:val="0071044A"/>
    <w:rsid w:val="00713BDC"/>
    <w:rsid w:val="0071558E"/>
    <w:rsid w:val="0072048B"/>
    <w:rsid w:val="00721B0B"/>
    <w:rsid w:val="0073204C"/>
    <w:rsid w:val="007323C1"/>
    <w:rsid w:val="00756414"/>
    <w:rsid w:val="00760061"/>
    <w:rsid w:val="007602DE"/>
    <w:rsid w:val="00764616"/>
    <w:rsid w:val="007A5ED6"/>
    <w:rsid w:val="007B7DBA"/>
    <w:rsid w:val="007C42D6"/>
    <w:rsid w:val="007D1197"/>
    <w:rsid w:val="007E6E4C"/>
    <w:rsid w:val="00800205"/>
    <w:rsid w:val="008163B5"/>
    <w:rsid w:val="00816C87"/>
    <w:rsid w:val="0083080E"/>
    <w:rsid w:val="00837AC9"/>
    <w:rsid w:val="00844C7E"/>
    <w:rsid w:val="00852737"/>
    <w:rsid w:val="00865538"/>
    <w:rsid w:val="0086749D"/>
    <w:rsid w:val="00892F3A"/>
    <w:rsid w:val="0089641F"/>
    <w:rsid w:val="00897903"/>
    <w:rsid w:val="008A00C4"/>
    <w:rsid w:val="008B03A9"/>
    <w:rsid w:val="008B1EB6"/>
    <w:rsid w:val="008C2DF1"/>
    <w:rsid w:val="008C4161"/>
    <w:rsid w:val="008D1C5C"/>
    <w:rsid w:val="008D36DF"/>
    <w:rsid w:val="008D4C4A"/>
    <w:rsid w:val="008E036E"/>
    <w:rsid w:val="00901458"/>
    <w:rsid w:val="00917CA3"/>
    <w:rsid w:val="009326F3"/>
    <w:rsid w:val="00944B2B"/>
    <w:rsid w:val="00945238"/>
    <w:rsid w:val="00946E47"/>
    <w:rsid w:val="00947776"/>
    <w:rsid w:val="00952FDA"/>
    <w:rsid w:val="009647D5"/>
    <w:rsid w:val="00981E99"/>
    <w:rsid w:val="00993421"/>
    <w:rsid w:val="00993435"/>
    <w:rsid w:val="009A6CB9"/>
    <w:rsid w:val="009B64D0"/>
    <w:rsid w:val="009D5596"/>
    <w:rsid w:val="009E36D2"/>
    <w:rsid w:val="009E7E47"/>
    <w:rsid w:val="009F42BD"/>
    <w:rsid w:val="00A00F1B"/>
    <w:rsid w:val="00A019E7"/>
    <w:rsid w:val="00A163E5"/>
    <w:rsid w:val="00A368AD"/>
    <w:rsid w:val="00A410D8"/>
    <w:rsid w:val="00A42BDB"/>
    <w:rsid w:val="00A5449E"/>
    <w:rsid w:val="00A664FD"/>
    <w:rsid w:val="00A80ED4"/>
    <w:rsid w:val="00A85982"/>
    <w:rsid w:val="00A917FA"/>
    <w:rsid w:val="00AA2BE5"/>
    <w:rsid w:val="00AA5EC3"/>
    <w:rsid w:val="00AB1B51"/>
    <w:rsid w:val="00AC76E6"/>
    <w:rsid w:val="00AD0D0C"/>
    <w:rsid w:val="00AD1529"/>
    <w:rsid w:val="00AE478E"/>
    <w:rsid w:val="00AE6095"/>
    <w:rsid w:val="00AE6734"/>
    <w:rsid w:val="00AF3093"/>
    <w:rsid w:val="00AF3FAD"/>
    <w:rsid w:val="00AF5031"/>
    <w:rsid w:val="00B020F8"/>
    <w:rsid w:val="00B066C1"/>
    <w:rsid w:val="00B10279"/>
    <w:rsid w:val="00B116AD"/>
    <w:rsid w:val="00B22678"/>
    <w:rsid w:val="00B2282A"/>
    <w:rsid w:val="00B23C55"/>
    <w:rsid w:val="00B759DA"/>
    <w:rsid w:val="00B75B08"/>
    <w:rsid w:val="00B820D3"/>
    <w:rsid w:val="00B86FDB"/>
    <w:rsid w:val="00B934DE"/>
    <w:rsid w:val="00BC1BF6"/>
    <w:rsid w:val="00BE1783"/>
    <w:rsid w:val="00C011AC"/>
    <w:rsid w:val="00C053C8"/>
    <w:rsid w:val="00C1107A"/>
    <w:rsid w:val="00C33590"/>
    <w:rsid w:val="00C36FFF"/>
    <w:rsid w:val="00C50F40"/>
    <w:rsid w:val="00C515CE"/>
    <w:rsid w:val="00C5231D"/>
    <w:rsid w:val="00C64F30"/>
    <w:rsid w:val="00C712AB"/>
    <w:rsid w:val="00C76F0A"/>
    <w:rsid w:val="00CA4513"/>
    <w:rsid w:val="00CE02FB"/>
    <w:rsid w:val="00D01B3C"/>
    <w:rsid w:val="00D22AC8"/>
    <w:rsid w:val="00D25DEE"/>
    <w:rsid w:val="00D4427A"/>
    <w:rsid w:val="00D449E2"/>
    <w:rsid w:val="00D47C17"/>
    <w:rsid w:val="00D52DE4"/>
    <w:rsid w:val="00D5545E"/>
    <w:rsid w:val="00D57483"/>
    <w:rsid w:val="00D64457"/>
    <w:rsid w:val="00D668C8"/>
    <w:rsid w:val="00D9597C"/>
    <w:rsid w:val="00D974E0"/>
    <w:rsid w:val="00DB5A6A"/>
    <w:rsid w:val="00DD0FB3"/>
    <w:rsid w:val="00DF2070"/>
    <w:rsid w:val="00DF25DD"/>
    <w:rsid w:val="00E148FF"/>
    <w:rsid w:val="00E15156"/>
    <w:rsid w:val="00E27A08"/>
    <w:rsid w:val="00E31786"/>
    <w:rsid w:val="00E4033D"/>
    <w:rsid w:val="00E40AC0"/>
    <w:rsid w:val="00E43B75"/>
    <w:rsid w:val="00E441C9"/>
    <w:rsid w:val="00E45412"/>
    <w:rsid w:val="00E50B59"/>
    <w:rsid w:val="00E64036"/>
    <w:rsid w:val="00E67985"/>
    <w:rsid w:val="00E7208C"/>
    <w:rsid w:val="00E81EDD"/>
    <w:rsid w:val="00E908E6"/>
    <w:rsid w:val="00E922D5"/>
    <w:rsid w:val="00EB16EB"/>
    <w:rsid w:val="00EC11A8"/>
    <w:rsid w:val="00ED1E07"/>
    <w:rsid w:val="00ED378E"/>
    <w:rsid w:val="00EE17A7"/>
    <w:rsid w:val="00EF5A6C"/>
    <w:rsid w:val="00F01EB1"/>
    <w:rsid w:val="00F044B3"/>
    <w:rsid w:val="00F07C94"/>
    <w:rsid w:val="00F23604"/>
    <w:rsid w:val="00F27B58"/>
    <w:rsid w:val="00F50791"/>
    <w:rsid w:val="00F54FD3"/>
    <w:rsid w:val="00F73305"/>
    <w:rsid w:val="00F73CD1"/>
    <w:rsid w:val="00F82ED8"/>
    <w:rsid w:val="00F9080B"/>
    <w:rsid w:val="00F946F0"/>
    <w:rsid w:val="00F949BE"/>
    <w:rsid w:val="00F96CE3"/>
    <w:rsid w:val="00FA0A5B"/>
    <w:rsid w:val="00FA5194"/>
    <w:rsid w:val="00FB574D"/>
    <w:rsid w:val="00FC0420"/>
    <w:rsid w:val="00FD050B"/>
    <w:rsid w:val="00FE6E62"/>
    <w:rsid w:val="00FE7BA3"/>
    <w:rsid w:val="00FF4093"/>
    <w:rsid w:val="00FF5EF0"/>
    <w:rsid w:val="0B485B37"/>
    <w:rsid w:val="0BA621D6"/>
    <w:rsid w:val="0C2000A9"/>
    <w:rsid w:val="0C3D70EB"/>
    <w:rsid w:val="0FEC2571"/>
    <w:rsid w:val="11354FE0"/>
    <w:rsid w:val="1777437B"/>
    <w:rsid w:val="1D0836F3"/>
    <w:rsid w:val="21683990"/>
    <w:rsid w:val="21985CAA"/>
    <w:rsid w:val="21DC3351"/>
    <w:rsid w:val="237964E5"/>
    <w:rsid w:val="2390167A"/>
    <w:rsid w:val="32FE2D34"/>
    <w:rsid w:val="34F6041E"/>
    <w:rsid w:val="386D5951"/>
    <w:rsid w:val="39326F05"/>
    <w:rsid w:val="3A0F0CC4"/>
    <w:rsid w:val="41CD1A35"/>
    <w:rsid w:val="41EF506F"/>
    <w:rsid w:val="420838E5"/>
    <w:rsid w:val="46851C60"/>
    <w:rsid w:val="47326F04"/>
    <w:rsid w:val="52E249E3"/>
    <w:rsid w:val="54F27962"/>
    <w:rsid w:val="553C5E7E"/>
    <w:rsid w:val="6029617B"/>
    <w:rsid w:val="6430090C"/>
    <w:rsid w:val="66DB784C"/>
    <w:rsid w:val="67FD0B94"/>
    <w:rsid w:val="6CC621EC"/>
    <w:rsid w:val="6D0C396A"/>
    <w:rsid w:val="70BB7555"/>
    <w:rsid w:val="73D75E72"/>
    <w:rsid w:val="746349FD"/>
    <w:rsid w:val="77D07954"/>
    <w:rsid w:val="79C97364"/>
    <w:rsid w:val="7EED13B8"/>
    <w:rsid w:val="7FB0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kern w:val="2"/>
      <w:sz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utoSpaceDE/>
      <w:autoSpaceDN/>
      <w:adjustRightInd/>
      <w:textAlignment w:val="auto"/>
    </w:pPr>
    <w:rPr>
      <w:rFonts w:ascii="宋体" w:hAnsi="Courier New"/>
      <w:sz w:val="21"/>
    </w:rPr>
  </w:style>
  <w:style w:type="paragraph" w:styleId="3">
    <w:name w:val="Body Text"/>
    <w:basedOn w:val="1"/>
    <w:qFormat/>
    <w:uiPriority w:val="0"/>
    <w:pPr>
      <w:jc w:val="center"/>
    </w:pPr>
  </w:style>
  <w:style w:type="paragraph" w:styleId="4">
    <w:name w:val="Body Text Indent"/>
    <w:basedOn w:val="1"/>
    <w:qFormat/>
    <w:uiPriority w:val="0"/>
    <w:pPr>
      <w:ind w:firstLine="645"/>
    </w:pPr>
    <w:rPr>
      <w:rFonts w:ascii="楷体_GB2312" w:eastAsia="楷体_GB2312"/>
    </w:rPr>
  </w:style>
  <w:style w:type="paragraph" w:styleId="5">
    <w:name w:val="Block Text"/>
    <w:basedOn w:val="1"/>
    <w:qFormat/>
    <w:uiPriority w:val="0"/>
    <w:pPr>
      <w:ind w:left="-224" w:right="-205" w:firstLine="210"/>
      <w:jc w:val="center"/>
    </w:pPr>
    <w:rPr>
      <w:rFonts w:ascii="黑体" w:eastAsia="黑体"/>
      <w:sz w:val="36"/>
    </w:rPr>
  </w:style>
  <w:style w:type="paragraph" w:styleId="6">
    <w:name w:val="Date"/>
    <w:basedOn w:val="1"/>
    <w:next w:val="1"/>
    <w:qFormat/>
    <w:uiPriority w:val="0"/>
  </w:style>
  <w:style w:type="paragraph" w:styleId="7">
    <w:name w:val="Body Text Indent 2"/>
    <w:basedOn w:val="1"/>
    <w:qFormat/>
    <w:uiPriority w:val="0"/>
    <w:pPr>
      <w:spacing w:line="600" w:lineRule="exact"/>
      <w:ind w:firstLine="600"/>
    </w:pPr>
    <w:rPr>
      <w:rFonts w:ascii="楷体_GB2312" w:eastAsia="楷体_GB2312"/>
    </w:rPr>
  </w:style>
  <w:style w:type="paragraph" w:styleId="8">
    <w:name w:val="Balloon Text"/>
    <w:basedOn w:val="1"/>
    <w:semiHidden/>
    <w:qFormat/>
    <w:uiPriority w:val="0"/>
    <w:rPr>
      <w:sz w:val="18"/>
      <w:szCs w:val="18"/>
    </w:rPr>
  </w:style>
  <w:style w:type="paragraph" w:styleId="9">
    <w:name w:val="footer"/>
    <w:basedOn w:val="1"/>
    <w:link w:val="18"/>
    <w:qFormat/>
    <w:uiPriority w:val="99"/>
    <w:pPr>
      <w:tabs>
        <w:tab w:val="center" w:pos="4153"/>
        <w:tab w:val="right" w:pos="8306"/>
      </w:tabs>
      <w:jc w:val="left"/>
    </w:pPr>
    <w:rPr>
      <w:sz w:val="18"/>
    </w:rPr>
  </w:style>
  <w:style w:type="paragraph" w:styleId="10">
    <w:name w:val="header"/>
    <w:basedOn w:val="1"/>
    <w:link w:val="17"/>
    <w:qFormat/>
    <w:uiPriority w:val="99"/>
    <w:pPr>
      <w:pBdr>
        <w:bottom w:val="single" w:color="auto" w:sz="6" w:space="1"/>
      </w:pBdr>
      <w:tabs>
        <w:tab w:val="center" w:pos="4153"/>
        <w:tab w:val="right" w:pos="8306"/>
      </w:tabs>
      <w:jc w:val="center"/>
    </w:pPr>
    <w:rPr>
      <w:sz w:val="18"/>
    </w:rPr>
  </w:style>
  <w:style w:type="paragraph" w:styleId="11">
    <w:name w:val="Body Text Indent 3"/>
    <w:basedOn w:val="1"/>
    <w:qFormat/>
    <w:uiPriority w:val="0"/>
    <w:pPr>
      <w:autoSpaceDE/>
      <w:autoSpaceDN/>
      <w:adjustRightInd/>
      <w:ind w:firstLine="630"/>
      <w:textAlignment w:val="auto"/>
    </w:pPr>
    <w:rPr>
      <w:rFonts w:eastAsia="楷体_GB2312"/>
      <w:b/>
    </w:rPr>
  </w:style>
  <w:style w:type="paragraph" w:styleId="12">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5">
    <w:name w:val="page number"/>
    <w:qFormat/>
    <w:uiPriority w:val="0"/>
    <w:rPr>
      <w:sz w:val="20"/>
    </w:rPr>
  </w:style>
  <w:style w:type="paragraph" w:customStyle="1" w:styleId="16">
    <w:name w:val="Char"/>
    <w:basedOn w:val="1"/>
    <w:qFormat/>
    <w:uiPriority w:val="0"/>
    <w:pPr>
      <w:widowControl/>
      <w:autoSpaceDE/>
      <w:autoSpaceDN/>
      <w:adjustRightInd/>
      <w:spacing w:after="160" w:line="240" w:lineRule="exact"/>
      <w:jc w:val="left"/>
      <w:textAlignment w:val="auto"/>
    </w:pPr>
    <w:rPr>
      <w:sz w:val="21"/>
    </w:rPr>
  </w:style>
  <w:style w:type="character" w:customStyle="1" w:styleId="17">
    <w:name w:val="页眉 Char"/>
    <w:basedOn w:val="14"/>
    <w:link w:val="10"/>
    <w:qFormat/>
    <w:uiPriority w:val="99"/>
    <w:rPr>
      <w:kern w:val="2"/>
      <w:sz w:val="18"/>
    </w:rPr>
  </w:style>
  <w:style w:type="character" w:customStyle="1" w:styleId="18">
    <w:name w:val="页脚 Char"/>
    <w:basedOn w:val="14"/>
    <w:link w:val="9"/>
    <w:qFormat/>
    <w:uiPriority w:val="99"/>
    <w:rPr>
      <w:kern w:val="2"/>
      <w:sz w:val="18"/>
    </w:rPr>
  </w:style>
  <w:style w:type="paragraph" w:styleId="19">
    <w:name w:val="List Paragraph"/>
    <w:basedOn w:val="1"/>
    <w:qFormat/>
    <w:uiPriority w:val="34"/>
    <w:pPr>
      <w:ind w:firstLine="420" w:firstLineChars="200"/>
    </w:p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1">
    <w:name w:val="样式 首行缩进:  0.99 厘米 行距: 最小值 25 磅"/>
    <w:basedOn w:val="1"/>
    <w:link w:val="22"/>
    <w:qFormat/>
    <w:uiPriority w:val="0"/>
    <w:pPr>
      <w:autoSpaceDE/>
      <w:autoSpaceDN/>
      <w:adjustRightInd/>
      <w:spacing w:line="500" w:lineRule="atLeast"/>
      <w:ind w:firstLine="561"/>
      <w:textAlignment w:val="auto"/>
    </w:pPr>
    <w:rPr>
      <w:rFonts w:cs="宋体"/>
      <w:sz w:val="28"/>
    </w:rPr>
  </w:style>
  <w:style w:type="character" w:customStyle="1" w:styleId="22">
    <w:name w:val="样式 首行缩进:  0.99 厘米 行距: 最小值 25 磅 Char"/>
    <w:link w:val="21"/>
    <w:qFormat/>
    <w:uiPriority w:val="0"/>
    <w:rPr>
      <w:rFonts w:cs="宋体"/>
      <w:kern w:val="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016;&#25919;&#20892;&#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丰政农函</Template>
  <Company>Lenovo</Company>
  <Pages>1</Pages>
  <Words>132</Words>
  <Characters>142</Characters>
  <Lines>3</Lines>
  <Paragraphs>1</Paragraphs>
  <TotalTime>1</TotalTime>
  <ScaleCrop>false</ScaleCrop>
  <LinksUpToDate>false</LinksUpToDate>
  <CharactersWithSpaces>147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2019-12-12T09:01:00Z</dcterms:created>
  <dc:creator>USER</dc:creator>
  <cp:lastModifiedBy>XYSD</cp:lastModifiedBy>
  <cp:lastPrinted>2022-01-14T03:23:00Z</cp:lastPrinted>
  <dcterms:modified xsi:type="dcterms:W3CDTF">2022-01-19T09:31:01Z</dcterms:modified>
  <dc:title>丰台区区级领导班子和领导干部“三讲”教育“回头看”工作实施方案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