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D1" w:rsidRPr="001541D1" w:rsidRDefault="001541D1" w:rsidP="001541D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北京市丰台区人力资源和社会保障局2021年政府信息公开工作年度报告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依据《中华人民共和国政府信息公开条例》(以下简称《政府信息公开条例》)第五十条规定，编制本报告。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一、总体情况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2021年，区人力社保局严格落实《北京市丰台区2021年政务公开工作要点》，认真开展各项工作。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（一）主动公开情况。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2021年，通过丰台区人民政府网站、信用中国等网站及各类政务新媒体账号累计公开信息3868条。其中：通过丰台区人民政府网站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发布发布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信息789条；通过信用信息共享平台公开行政许可信息473条、行政处罚信息76条，共计发布信息549条；通过北京市丰台区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人社局今日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头条账号发布19条、烦事找我退休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午休抖音账号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14条、丰台人力社保新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浪微博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账号113条、丰台区人力资源公共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服务中心微信订阅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号1955条、丰台社保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中心微信服务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号109条、丰台人人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就业微信服务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号75条、丰台区企业聚才引智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之家微信订阅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号201条、丰台仲裁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院微信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订阅号44条，共计发布2530条。同时，努力探索多维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度信息</w:t>
      </w:r>
      <w:proofErr w:type="gramEnd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公开模式，先后在中央电视台、学习强国、新华网、人民网、北京电视台、北京日报、劳动就业报等中央和市级媒体刊发新闻380余条。落实区政府工作部署，在丰台区人民政府网站、局政府信息公开专栏等多种平台，对外公布经批准的预算、决算、政府购买服务目录，做好部门预决算公开。公开“三公”经费预算，细化说明因公出国（境）团组数及人数，公务用车购置费用，以及“三公”经费增减变化原因等信息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（二）依申请公开办理情况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1.申请情况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2021年度，收到政府信息公开申请14件，其中当面申请5件，通过信函形式申请4件，通过互联网申请5件，通过传真形式申请0件。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2.答复情况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>
        <w:rPr>
          <w:rFonts w:ascii="宋体" w:eastAsia="宋体" w:hAnsi="宋体" w:cs="宋体" w:hint="eastAsia"/>
          <w:kern w:val="0"/>
          <w:sz w:val="24"/>
          <w:szCs w:val="24"/>
          <w:lang/>
        </w:rPr>
        <w:t>2021年度，答复信息公开16件（本年度新收14件，上年度结转2件）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，其中：属于</w:t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>主动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公开</w:t>
      </w:r>
      <w:proofErr w:type="gramStart"/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范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  <w:lang/>
        </w:rPr>
        <w:t>7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件，占</w:t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>43.75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%；属于部分公开答复数2件，占</w:t>
      </w:r>
      <w:r w:rsidRPr="001541D1">
        <w:rPr>
          <w:rFonts w:ascii="宋体" w:eastAsia="宋体" w:hAnsi="宋体" w:cs="宋体" w:hint="eastAsia"/>
          <w:kern w:val="0"/>
          <w:sz w:val="24"/>
          <w:szCs w:val="24"/>
          <w:lang/>
        </w:rPr>
        <w:t>12.5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%；</w:t>
      </w:r>
      <w:r w:rsidRPr="001541D1">
        <w:rPr>
          <w:rFonts w:ascii="宋体" w:eastAsia="宋体" w:hAnsi="宋体" w:cs="宋体" w:hint="eastAsia"/>
          <w:kern w:val="0"/>
          <w:sz w:val="24"/>
          <w:szCs w:val="24"/>
          <w:lang/>
        </w:rPr>
        <w:t>无法</w:t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>提供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2件，占</w:t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>12.5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%</w:t>
      </w:r>
      <w:r>
        <w:rPr>
          <w:rFonts w:ascii="宋体" w:eastAsia="宋体" w:hAnsi="宋体" w:cs="宋体"/>
          <w:kern w:val="0"/>
          <w:sz w:val="24"/>
          <w:szCs w:val="24"/>
          <w:lang/>
        </w:rPr>
        <w:t>，其他处理</w:t>
      </w:r>
      <w:r>
        <w:rPr>
          <w:rFonts w:ascii="宋体" w:eastAsia="宋体" w:hAnsi="宋体" w:cs="宋体" w:hint="eastAsia"/>
          <w:kern w:val="0"/>
          <w:sz w:val="24"/>
          <w:szCs w:val="24"/>
          <w:lang/>
        </w:rPr>
        <w:t>5件，占31.25%</w:t>
      </w: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（三）政府信息资源的规范化、标准化管理情况。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高度重视政府信息公开工作，明确主管局长分管政务工作，配备配强工作人员，委派办公室一名工作人具体经办。进一步完善以办公室为政府信息公开牵头部门，各部门联动的协调机制。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lastRenderedPageBreak/>
        <w:t>（四）政府信息公开平台建设情况。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建立信息公开长效推进机制，牢牢把握“丰台区人力资源和社会保障局政府信息公开专栏”的基本定位，聚焦法定主动公开内容，以专门性内容的发布和管理，使我局政府信息公开平台成为社会公众便捷、全面获取重点政府信息的权威渠道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（五）政府信息公开监督保障及教育培训情况。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设立公民、法人或者其他组织政府信息公开监督投诉举报受理电话，确立政府信息公开工作部门领导专线负责。畅通公众监督渠道，广泛听取公众意见，发现问题及时整改，严格确保政府信息公开监督措施有力、保障到位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二、主动公开政府信息情况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2087"/>
        <w:gridCol w:w="2087"/>
        <w:gridCol w:w="2104"/>
      </w:tblGrid>
      <w:tr w:rsidR="001541D1" w:rsidRPr="001541D1" w:rsidTr="001541D1">
        <w:trPr>
          <w:tblCellSpacing w:w="0" w:type="dxa"/>
          <w:jc w:val="center"/>
        </w:trPr>
        <w:tc>
          <w:tcPr>
            <w:tcW w:w="9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第二十条第（一）项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现行有效件数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9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第二十条第（五）项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473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9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第二十条第（六）项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97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第二十条第（八）项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本年收费金额（单位：万元）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:rsidR="001541D1" w:rsidRPr="001541D1" w:rsidRDefault="001541D1" w:rsidP="001541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三、收到和处理政府信息公开申请情况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906"/>
        <w:gridCol w:w="2637"/>
        <w:gridCol w:w="597"/>
        <w:gridCol w:w="597"/>
        <w:gridCol w:w="597"/>
        <w:gridCol w:w="597"/>
        <w:gridCol w:w="597"/>
        <w:gridCol w:w="629"/>
        <w:gridCol w:w="496"/>
      </w:tblGrid>
      <w:tr w:rsidR="001541D1" w:rsidRPr="001541D1" w:rsidTr="001541D1">
        <w:trPr>
          <w:tblCellSpacing w:w="0" w:type="dxa"/>
          <w:jc w:val="center"/>
        </w:trPr>
        <w:tc>
          <w:tcPr>
            <w:tcW w:w="49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（本列数据的勾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稽</w:t>
            </w:r>
            <w:proofErr w:type="gramEnd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关系为：第一项加第二项之和，等于第三项加第四项之和）</w:t>
            </w:r>
          </w:p>
        </w:tc>
        <w:tc>
          <w:tcPr>
            <w:tcW w:w="467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申请人情况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商业</w:t>
            </w:r>
          </w:p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科研</w:t>
            </w:r>
          </w:p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4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4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三、本年度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办2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理结果</w:t>
            </w:r>
            <w:proofErr w:type="gramEnd"/>
          </w:p>
        </w:tc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（一）予以公开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（二）部分公开（区分处理的，只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计这一情形，不计其他情形）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3.危及“三安全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稳定”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（五）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不予处理</w:t>
            </w:r>
            <w:proofErr w:type="gramEnd"/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1.申请人无正当理由逾期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  <w:proofErr w:type="gramEnd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补正、行政机关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  <w:proofErr w:type="gramEnd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再处理其政府信息公开申请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2.申请人逾期未按收费通知要求缴纳费用、行政机关</w:t>
            </w:r>
            <w:proofErr w:type="gramStart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不</w:t>
            </w:r>
            <w:proofErr w:type="gramEnd"/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再处理其政府信息公开申请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4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:rsidR="001541D1" w:rsidRPr="001541D1" w:rsidRDefault="001541D1" w:rsidP="001541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四、政府信息公开行政复议、行政诉讼情况</w:t>
      </w:r>
      <w:r w:rsidRPr="001541D1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/>
        </w:rPr>
        <w:t> </w:t>
      </w:r>
      <w:r w:rsidRPr="001541D1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/>
        </w:rPr>
        <w:t> </w:t>
      </w:r>
      <w:r w:rsidRPr="001541D1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/>
        </w:rPr>
        <w:t> </w:t>
      </w:r>
      <w:r w:rsidRPr="001541D1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/>
        </w:rPr>
        <w:t> 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557"/>
        <w:gridCol w:w="556"/>
        <w:gridCol w:w="556"/>
        <w:gridCol w:w="564"/>
        <w:gridCol w:w="556"/>
        <w:gridCol w:w="556"/>
        <w:gridCol w:w="556"/>
        <w:gridCol w:w="556"/>
        <w:gridCol w:w="564"/>
        <w:gridCol w:w="556"/>
        <w:gridCol w:w="556"/>
        <w:gridCol w:w="556"/>
        <w:gridCol w:w="556"/>
        <w:gridCol w:w="564"/>
      </w:tblGrid>
      <w:tr w:rsidR="001541D1" w:rsidRPr="001541D1" w:rsidTr="001541D1">
        <w:trPr>
          <w:tblCellSpacing w:w="0" w:type="dxa"/>
          <w:jc w:val="center"/>
        </w:trPr>
        <w:tc>
          <w:tcPr>
            <w:tcW w:w="3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行政诉讼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结果维持</w:t>
            </w:r>
          </w:p>
        </w:tc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纠正</w:t>
            </w:r>
          </w:p>
        </w:tc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尚未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审结</w:t>
            </w:r>
          </w:p>
        </w:tc>
        <w:tc>
          <w:tcPr>
            <w:tcW w:w="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复议后起诉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维持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纠正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尚未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审结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维持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结果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纠正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其他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结果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尚未</w:t>
            </w: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审结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总计</w:t>
            </w:r>
          </w:p>
        </w:tc>
      </w:tr>
      <w:tr w:rsidR="001541D1" w:rsidRPr="001541D1" w:rsidTr="001541D1">
        <w:trPr>
          <w:tblCellSpacing w:w="0" w:type="dxa"/>
          <w:jc w:val="center"/>
        </w:trPr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41D1" w:rsidRPr="001541D1" w:rsidRDefault="001541D1" w:rsidP="001541D1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1D1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</w:tbl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五、存在的主要问题及改进情况</w:t>
      </w:r>
    </w:p>
    <w:p w:rsidR="001541D1" w:rsidRPr="001541D1" w:rsidRDefault="001541D1" w:rsidP="001541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目前，我局政府信息主动公开形式较为单一，主动公开全清单仍需进一步完善。下一步，将充分利用好政务新媒体平台，立足群众视角，提升公开质量。</w:t>
      </w:r>
    </w:p>
    <w:p w:rsidR="001541D1" w:rsidRPr="001541D1" w:rsidRDefault="001541D1" w:rsidP="001541D1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b/>
          <w:bCs/>
          <w:kern w:val="0"/>
          <w:sz w:val="24"/>
          <w:szCs w:val="24"/>
          <w:lang/>
        </w:rPr>
        <w:t>六、其他需要报告的事项</w:t>
      </w:r>
    </w:p>
    <w:p w:rsidR="001541D1" w:rsidRPr="001541D1" w:rsidRDefault="001541D1" w:rsidP="001541D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:lang/>
        </w:rPr>
      </w:pPr>
      <w:r w:rsidRPr="001541D1">
        <w:rPr>
          <w:rFonts w:ascii="宋体" w:eastAsia="宋体" w:hAnsi="宋体" w:cs="宋体"/>
          <w:kern w:val="0"/>
          <w:sz w:val="24"/>
          <w:szCs w:val="24"/>
          <w:lang/>
        </w:rPr>
        <w:t>北京市丰台区人民政府门户网站网址为（http://www.bjft.gov.cn/）。北京市丰台区政府信息公开专栏网址为（http://www.bjft.gov.cn/ftq/c100041/xxgkzn.shtml），如需了解更多政府信息，请登录查询。发出收费通知的件数和总金额以及实际收取的总金额均为0。</w:t>
      </w:r>
    </w:p>
    <w:p w:rsidR="00311BF6" w:rsidRPr="001541D1" w:rsidRDefault="00311BF6">
      <w:pPr>
        <w:rPr>
          <w:lang/>
        </w:rPr>
      </w:pPr>
    </w:p>
    <w:sectPr w:rsidR="00311BF6" w:rsidRPr="001541D1" w:rsidSect="00311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1D1"/>
    <w:rsid w:val="001541D1"/>
    <w:rsid w:val="00311BF6"/>
    <w:rsid w:val="0080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1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1541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2022-12-08T12:44:00Z</dcterms:created>
  <dcterms:modified xsi:type="dcterms:W3CDTF">2022-12-08T12:55:00Z</dcterms:modified>
</cp:coreProperties>
</file>