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北京市丰台区财政局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</w:t>
      </w:r>
    </w:p>
    <w:p>
      <w:pPr>
        <w:widowControl/>
        <w:spacing w:line="560" w:lineRule="exact"/>
        <w:ind w:left="0" w:leftChars="0" w:firstLine="638" w:firstLineChars="19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left="0" w:leftChars="0" w:firstLine="638" w:firstLineChars="19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</w:t>
      </w: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eastAsia="zh-CN" w:bidi="ar"/>
        </w:rPr>
        <w:t>工作</w:t>
      </w: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情况</w:t>
      </w:r>
    </w:p>
    <w:p>
      <w:pPr>
        <w:widowControl/>
        <w:spacing w:line="560" w:lineRule="exact"/>
        <w:ind w:left="0" w:leftChars="0" w:firstLine="608" w:firstLineChars="190"/>
        <w:jc w:val="lef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丰台区财政局始终将信息公开工作作为重点工作之一，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积极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利用部门“动态栏目、财政信息、执法公示”等栏目，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宣传重大财政改革精神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及</w:t>
      </w:r>
      <w:r>
        <w:rPr>
          <w:rFonts w:hint="eastAsia" w:ascii="仿宋_GB2312" w:hAnsi="Times New Roman" w:eastAsia="仿宋_GB2312" w:cs="Times New Roman"/>
          <w:sz w:val="32"/>
          <w:szCs w:val="32"/>
        </w:rPr>
        <w:t>重要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财政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事项，扩大财政信息公开的覆盖面和影响力。202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年，通过信息公开门户网站主动向社会公开财政信息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229</w:t>
      </w:r>
      <w:r>
        <w:rPr>
          <w:rFonts w:hint="eastAsia" w:ascii="仿宋_GB2312" w:hAnsi="Times New Roman" w:eastAsia="仿宋_GB2312" w:cs="Times New Roman"/>
          <w:sz w:val="32"/>
          <w:szCs w:val="32"/>
        </w:rPr>
        <w:t>条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left="0" w:leftChars="0" w:firstLine="608" w:firstLineChars="19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严密组织财政预决算信息公开。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根据《丰台区2023 年政务公开工作要点任务分解》中“</w:t>
      </w:r>
      <w:r>
        <w:rPr>
          <w:rFonts w:hint="eastAsia" w:ascii="仿宋_GB2312" w:hAnsi="Times New Roman" w:eastAsia="仿宋_GB2312" w:cs="Times New Roman"/>
          <w:sz w:val="32"/>
          <w:szCs w:val="32"/>
        </w:rPr>
        <w:t>加强财政预决算信息公开，推进所有非涉密部门应公开尽公开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”要求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,丰台区财政局组织区属预算单位严格落实《预算法》，及时公开2023年度政府及部门预决算情况。</w:t>
      </w:r>
    </w:p>
    <w:p>
      <w:pPr>
        <w:widowControl/>
        <w:spacing w:line="560" w:lineRule="exact"/>
        <w:ind w:left="0" w:leftChars="0" w:firstLine="608" w:firstLineChars="19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政府预算、调整预算公开情况。丰台区2023年政府预算于2023年1月5日经区十七届人民代表大会第三次会议审议批准，1月12日在区政府网站上完成公开。公开内容包括预算报告、预算草案等内容。2023年第一次调整预算于2023年3月23日经区人大常委会审议批准，3月30日在区政府网站上完成公开。公开内容包括调整预算报告、调整预算表。2023年第二次调整预算于2023年7月27日经区人大常委会审议批准，8月9日在区政府网站上完成公开。公开内容包括调整预算报告、调整预算表。</w:t>
      </w:r>
    </w:p>
    <w:p>
      <w:pPr>
        <w:widowControl/>
        <w:spacing w:line="560" w:lineRule="exact"/>
        <w:ind w:left="0" w:leftChars="0" w:firstLine="608" w:firstLineChars="19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2.政府决算公开情况。2023年政府决算于2023年7月27日经区人大常委会审议批准，8月9日在区政府网站上完成公开。公开内容包括决算报告、决算草案、三公经费安排说明、转移支付安排说明、绩效管理情况说明。</w:t>
      </w:r>
    </w:p>
    <w:p>
      <w:pPr>
        <w:widowControl/>
        <w:spacing w:line="560" w:lineRule="exact"/>
        <w:ind w:left="0" w:leftChars="0" w:firstLine="608" w:firstLineChars="19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部门预算公开情况。2023年部门预算于1月19日完成批复，2月7日在丰台区政府网站及单位门户网站统一公开。2023年我区预算公开部门（单位）共297家，做到统一标准、统一时间、集中公开。实现除法定涉密信息及涉密部门外，使用财政资金的区级部门及其下属二级单位均向社会进行公开。</w:t>
      </w:r>
    </w:p>
    <w:p>
      <w:pPr>
        <w:widowControl/>
        <w:spacing w:line="560" w:lineRule="exact"/>
        <w:ind w:left="0" w:leftChars="0" w:firstLine="608" w:firstLineChars="19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4.部门决算公开情况。2023年8月28日，经丰台区第十七届人民代表大会常务委员会第十次会议审议通过后，</w:t>
      </w:r>
      <w:r>
        <w:rPr>
          <w:rFonts w:hint="eastAsia" w:ascii="仿宋_GB2312" w:hAnsi="Times New Roman" w:eastAsia="仿宋_GB2312" w:cs="Times New Roman"/>
          <w:sz w:val="32"/>
          <w:szCs w:val="32"/>
          <w:lang w:val="zh-CN" w:eastAsia="zh-CN"/>
        </w:rPr>
        <w:t>我区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321家单位在区政府网站公开2022年部门（单位）决算情况，做到按时报送、及时公开。实现除法定涉密信息外，使用财政资金的部门及其下属二级单位均进行公开。</w:t>
      </w:r>
    </w:p>
    <w:p>
      <w:pPr>
        <w:widowControl/>
        <w:spacing w:line="560" w:lineRule="exact"/>
        <w:ind w:left="0" w:leftChars="0" w:firstLine="608" w:firstLineChars="190"/>
        <w:jc w:val="left"/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（二）加强执法信息公开。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一是通过“执法公示——基本信息”栏目公开我局“行政处罚权力运行流程图(简易流程)、行政处罚权力运行流程图（普通流程）”，公布执法流程。二是通过“政务公开——财政信息”栏目公开代理记账审批结果，</w:t>
      </w:r>
      <w:r>
        <w:rPr>
          <w:rFonts w:hint="eastAsia" w:ascii="仿宋_GB2312" w:eastAsia="仿宋_GB2312"/>
          <w:sz w:val="32"/>
          <w:szCs w:val="32"/>
          <w:lang w:eastAsia="zh-CN"/>
        </w:rPr>
        <w:t>及时响应代理记账申请，加快审批力度，按期发布代理记账审批结果。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2023年，公开</w:t>
      </w:r>
      <w:r>
        <w:rPr>
          <w:rFonts w:hint="eastAsia" w:ascii="仿宋_GB2312" w:eastAsia="仿宋_GB2312"/>
          <w:i w:val="0"/>
          <w:iCs w:val="0"/>
          <w:sz w:val="32"/>
          <w:szCs w:val="32"/>
          <w:lang w:eastAsia="zh-CN"/>
        </w:rPr>
        <w:t>代理记账批复</w:t>
      </w:r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54条。</w:t>
      </w:r>
    </w:p>
    <w:p>
      <w:pPr>
        <w:widowControl/>
        <w:spacing w:line="560" w:lineRule="exact"/>
        <w:ind w:left="0" w:leftChars="0" w:firstLine="608" w:firstLineChars="19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（三）高质量做好直达资金及行政事业性收费信息公开。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坚持每月向社会公开我区直达资金预算安排、直达资金使用情况和中央直达资金主要支出成效。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严格遵照市级内容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更新《北京市行政事业性收费目录清单》《北京市涉企行政事业性收费目录清单》《北京市政府性基金目录清单》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。</w:t>
      </w:r>
    </w:p>
    <w:p>
      <w:pPr>
        <w:widowControl/>
        <w:spacing w:line="560" w:lineRule="exact"/>
        <w:ind w:left="0" w:leftChars="0" w:firstLine="608" w:firstLineChars="19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（四）认真做好政府信息公开申请工作。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办公室设置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AB岗，不定期查看传真及政务邮箱，保证能及时接收信息申请严格依申请公开工作办理流程，依托局业务系统，使办件过程可查可追。设置法审流程，所有答复告知书必须经律师审核，保证答复依规合法。按要求发布《政府信息公开指南》并经常检查公开状态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2023年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，区财政局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办理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政府信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息公开申请27件，除1件未按期补正和1件未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按期交纳信息处理费外，其余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均按规定答复申请人。</w:t>
      </w:r>
    </w:p>
    <w:p>
      <w:pPr>
        <w:pStyle w:val="2"/>
        <w:rPr>
          <w:rFonts w:hint="eastAsia"/>
        </w:rPr>
      </w:pPr>
    </w:p>
    <w:p>
      <w:pPr>
        <w:widowControl/>
        <w:spacing w:line="560" w:lineRule="exact"/>
        <w:ind w:left="0" w:leftChars="0" w:firstLine="608" w:firstLineChars="190"/>
        <w:jc w:val="left"/>
        <w:rPr>
          <w:rFonts w:hint="eastAsia"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p>
      <w:pPr>
        <w:pStyle w:val="2"/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182</w:t>
            </w:r>
          </w:p>
        </w:tc>
      </w:tr>
    </w:tbl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19"/>
        <w:gridCol w:w="688"/>
        <w:gridCol w:w="688"/>
        <w:gridCol w:w="688"/>
        <w:gridCol w:w="688"/>
        <w:gridCol w:w="688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8" w:type="dxa"/>
            <w:gridSpan w:val="7"/>
            <w:tcBorders>
              <w:top w:val="single" w:color="auto" w:sz="8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widowControl/>
        <w:ind w:left="420" w:leftChars="200"/>
      </w:pPr>
    </w:p>
    <w:p>
      <w:pPr>
        <w:pStyle w:val="2"/>
        <w:widowControl/>
        <w:ind w:left="420" w:leftChars="200"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一是提升政府信息公开工作年报的严谨性，做到数据更加详实精准，确保年报的规范格式、发布及时、内容完整。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/>
          <w:color w:val="FF000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二是加强信息内容审核，严格保密审查，特别是财政相关数据的保密审核，防止出现失密或失准情况，杜绝或减少错敏字。</w:t>
      </w:r>
    </w:p>
    <w:p>
      <w:pPr>
        <w:ind w:firstLine="640" w:firstLineChars="200"/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三是进一步加强预决算公开管理，完善部门预算公开格式、公开内容，</w:t>
      </w:r>
      <w:r>
        <w:rPr>
          <w:rFonts w:hint="eastAsia" w:ascii="仿宋_GB2312" w:eastAsia="仿宋_GB2312"/>
          <w:sz w:val="32"/>
          <w:szCs w:val="32"/>
        </w:rPr>
        <w:t>加强对公开内容的分析研判，舆情反馈工作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以高度负责的态度，采取切实有效措施，做到公开及时、内容完整、形式规范。</w:t>
      </w:r>
    </w:p>
    <w:p>
      <w:pPr>
        <w:widowControl/>
        <w:spacing w:line="560" w:lineRule="exact"/>
        <w:ind w:firstLine="675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发出收费通知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件、金额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2480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2023年第11号申请件，我局于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向申请人发出《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政府信息公开信息处理费收费通知单》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60" w:lineRule="exact"/>
        <w:ind w:firstLine="675"/>
        <w:jc w:val="left"/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申请人未向我局交费，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实际收取的总金额为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0。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B6E2A"/>
    <w:rsid w:val="049A4D9B"/>
    <w:rsid w:val="06CF5EF9"/>
    <w:rsid w:val="0B5B6E2A"/>
    <w:rsid w:val="194B618D"/>
    <w:rsid w:val="1AA533B1"/>
    <w:rsid w:val="1D340D8C"/>
    <w:rsid w:val="1F621D56"/>
    <w:rsid w:val="222162A5"/>
    <w:rsid w:val="2610531D"/>
    <w:rsid w:val="265F322D"/>
    <w:rsid w:val="2D0F4A05"/>
    <w:rsid w:val="2D8351A5"/>
    <w:rsid w:val="2D9C34DF"/>
    <w:rsid w:val="3CC770EE"/>
    <w:rsid w:val="3D4A5582"/>
    <w:rsid w:val="3DE97285"/>
    <w:rsid w:val="3E42210C"/>
    <w:rsid w:val="41B76E60"/>
    <w:rsid w:val="46A2496E"/>
    <w:rsid w:val="55E15D10"/>
    <w:rsid w:val="59173887"/>
    <w:rsid w:val="611F677C"/>
    <w:rsid w:val="66BF050E"/>
    <w:rsid w:val="66F069C0"/>
    <w:rsid w:val="6F634C70"/>
    <w:rsid w:val="715F697C"/>
    <w:rsid w:val="7F31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XYSD</cp:lastModifiedBy>
  <dcterms:modified xsi:type="dcterms:W3CDTF">2024-01-15T06:47:16Z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2CE85D57F1AF48EB93787A55E05929E0</vt:lpwstr>
  </property>
</Properties>
</file>