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03937">
      <w:pPr>
        <w:spacing w:line="600" w:lineRule="exact"/>
        <w:jc w:val="center"/>
        <w:rPr>
          <w:rFonts w:ascii="方正小标宋简体" w:eastAsia="方正小标宋简体"/>
          <w:sz w:val="44"/>
          <w:szCs w:val="44"/>
        </w:rPr>
      </w:pPr>
      <w:bookmarkStart w:id="0" w:name="OLE_LINK1"/>
      <w:r>
        <w:rPr>
          <w:rFonts w:hint="eastAsia" w:ascii="方正小标宋简体" w:eastAsia="方正小标宋简体"/>
          <w:sz w:val="44"/>
          <w:szCs w:val="44"/>
        </w:rPr>
        <w:t>北京市丰台区财政局</w:t>
      </w:r>
    </w:p>
    <w:p w14:paraId="109BDA1E">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2019年政府信息公开工作年度报告</w:t>
      </w:r>
    </w:p>
    <w:p w14:paraId="74EF00F8">
      <w:pPr>
        <w:widowControl/>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依据《中华人民共和国政府信息公开条例》第五十条之规定，制作本报告。</w:t>
      </w:r>
    </w:p>
    <w:p w14:paraId="76342B68">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14:paraId="3F053038">
      <w:pPr>
        <w:widowControl/>
        <w:spacing w:line="560" w:lineRule="exact"/>
        <w:ind w:firstLine="640" w:firstLineChars="200"/>
        <w:rPr>
          <w:rFonts w:ascii="楷体_GB2312" w:eastAsia="楷体_GB2312"/>
          <w:sz w:val="32"/>
          <w:szCs w:val="32"/>
        </w:rPr>
      </w:pPr>
      <w:r>
        <w:rPr>
          <w:rFonts w:hint="eastAsia" w:ascii="楷体_GB2312" w:eastAsia="楷体_GB2312"/>
          <w:sz w:val="32"/>
          <w:szCs w:val="32"/>
        </w:rPr>
        <w:t>（一）主动公开情况</w:t>
      </w:r>
    </w:p>
    <w:p w14:paraId="18FACBB6">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1.主动公开总体情况</w:t>
      </w:r>
    </w:p>
    <w:p w14:paraId="73CF6869">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丰台区财政局把政府信息主动公开工作作为推进依法行政的重要手段，不断扩大公开范围、细化公开内容。2019年通过北京市政府信息公开工作系统主动公开信息462条，环比增长14.64%。</w:t>
      </w:r>
    </w:p>
    <w:p w14:paraId="56A9CF56">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丰台区财政局2019年主动公开的462条信息中，</w:t>
      </w:r>
      <w:r>
        <w:rPr>
          <w:rFonts w:hint="eastAsia" w:ascii="仿宋_GB2312" w:eastAsia="仿宋_GB2312"/>
          <w:sz w:val="32"/>
          <w:szCs w:val="32"/>
        </w:rPr>
        <w:t>涵盖了财政诸多方面的工作。其中</w:t>
      </w:r>
      <w:r>
        <w:rPr>
          <w:rFonts w:hint="eastAsia" w:ascii="仿宋_GB2312" w:hAnsi="宋体" w:eastAsia="仿宋_GB2312" w:cs="宋体"/>
          <w:kern w:val="0"/>
          <w:sz w:val="32"/>
          <w:szCs w:val="32"/>
        </w:rPr>
        <w:t>业务动态类信息436条，占总体的比例为94.37%；规划计划类信息11条，占总体的比例为2.38%；法规文件类信息10条，占总体的比例为2.16%；行政职责类信息3条，占总体的比例为0.65%；机构职能类信息2条，占总体的比例为0.43%。</w:t>
      </w:r>
    </w:p>
    <w:p w14:paraId="7AAF6C21">
      <w:pPr>
        <w:widowControl/>
        <w:ind w:firstLine="420" w:firstLineChars="200"/>
        <w:jc w:val="center"/>
        <w:rPr>
          <w:rFonts w:ascii="仿宋_GB2312" w:hAnsi="宋体" w:eastAsia="仿宋_GB2312" w:cs="宋体"/>
          <w:kern w:val="0"/>
          <w:sz w:val="32"/>
          <w:szCs w:val="32"/>
        </w:rPr>
      </w:pPr>
      <w:r>
        <w:drawing>
          <wp:inline distT="0" distB="0" distL="0" distR="0">
            <wp:extent cx="4213860" cy="2499360"/>
            <wp:effectExtent l="0" t="0" r="1524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0C7FA31">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2.重点领域信息公开情况</w:t>
      </w:r>
    </w:p>
    <w:p w14:paraId="1D9F3CE2">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（1）政府预算公开情况</w:t>
      </w:r>
    </w:p>
    <w:p w14:paraId="55FC3BCA">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经区十六届人大第六次会议审议通过后，我区2019年政府预算草案及报告于2019年1月18日前通过丰台区政府网站、首都之窗网站两个渠道向社会公开。</w:t>
      </w:r>
    </w:p>
    <w:p w14:paraId="6B59DAA4">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公开内容包括一般公共预算、政府性基金预算、国资预算、社保基金预算四本预算。其中：</w:t>
      </w:r>
    </w:p>
    <w:p w14:paraId="5E8BED89">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①一般公共预算草案由收入表、支出表、支出明细表、基本支出经济分类表、收支总表、税收返还及转移支付情况表、一般债务限额和余额情况表7个部分构成。中央、市专项转移支付资金安排情况在支出明细表中公开到项级科目。三公经费安排情况及各分项金额、增减变化原因在预算报告中进行说明。预算报告中还对我区扶贫资金使用情况、政府债务情况，绩效工作开展情况进行了说明。因我区对乡镇财政参照部门预算方式进行管理，不存在对下级转移支付及税收返还，政府预算即为区本级预算，一般公共预算草案未设计区本级支出表、区本级基本支出表，税收返还及转移支付情况表无数据，中央、市专项转移支付无分地区公开形式。</w:t>
      </w:r>
    </w:p>
    <w:p w14:paraId="468579E3">
      <w:pPr>
        <w:spacing w:line="560" w:lineRule="exact"/>
        <w:ind w:firstLine="640" w:firstLineChars="200"/>
        <w:rPr>
          <w:rFonts w:ascii="仿宋_GB2312" w:eastAsia="仿宋_GB2312"/>
          <w:sz w:val="32"/>
          <w:szCs w:val="32"/>
        </w:rPr>
      </w:pPr>
      <w:r>
        <w:rPr>
          <w:rFonts w:hint="eastAsia" w:ascii="仿宋_GB2312" w:eastAsia="仿宋_GB2312"/>
          <w:sz w:val="32"/>
          <w:szCs w:val="32"/>
        </w:rPr>
        <w:t>②政府性基金预算草案由收入总表、支出总表、支出明细表、政府性基金转移支付情况表、专项债务限额和余额情况表5个部分构成。中央、市专项转移支付资金安排情况在支出明细表中公开到项级科目。因不存在对下级转移支付，政府性基金转移支付情况表以空表列示。</w:t>
      </w:r>
    </w:p>
    <w:p w14:paraId="1534A85C">
      <w:pPr>
        <w:spacing w:line="560" w:lineRule="exact"/>
        <w:ind w:firstLine="640" w:firstLineChars="200"/>
        <w:rPr>
          <w:rFonts w:ascii="仿宋_GB2312" w:eastAsia="仿宋_GB2312"/>
          <w:sz w:val="32"/>
          <w:szCs w:val="32"/>
        </w:rPr>
      </w:pPr>
      <w:r>
        <w:rPr>
          <w:rFonts w:hint="eastAsia" w:ascii="仿宋_GB2312" w:eastAsia="仿宋_GB2312"/>
          <w:sz w:val="32"/>
          <w:szCs w:val="32"/>
        </w:rPr>
        <w:t>③国资预算、社保基金预算草案均由收入表、支出表2个部分构成。</w:t>
      </w:r>
    </w:p>
    <w:p w14:paraId="6095DE26">
      <w:pPr>
        <w:spacing w:line="560" w:lineRule="exact"/>
        <w:ind w:firstLine="640" w:firstLineChars="200"/>
        <w:rPr>
          <w:rFonts w:ascii="仿宋_GB2312" w:eastAsia="仿宋_GB2312"/>
          <w:sz w:val="32"/>
          <w:szCs w:val="32"/>
        </w:rPr>
      </w:pPr>
      <w:r>
        <w:rPr>
          <w:rFonts w:hint="eastAsia" w:ascii="仿宋_GB2312" w:eastAsia="仿宋_GB2312"/>
          <w:sz w:val="32"/>
          <w:szCs w:val="32"/>
        </w:rPr>
        <w:t>(2)政府决算公开情况</w:t>
      </w:r>
    </w:p>
    <w:p w14:paraId="3AF1392F">
      <w:pPr>
        <w:spacing w:line="560" w:lineRule="exact"/>
        <w:ind w:firstLine="640" w:firstLineChars="200"/>
        <w:rPr>
          <w:rFonts w:ascii="仿宋_GB2312" w:eastAsia="仿宋_GB2312"/>
          <w:sz w:val="32"/>
          <w:szCs w:val="32"/>
        </w:rPr>
      </w:pPr>
      <w:r>
        <w:rPr>
          <w:rFonts w:hint="eastAsia" w:ascii="仿宋_GB2312" w:eastAsia="仿宋_GB2312"/>
          <w:sz w:val="32"/>
          <w:szCs w:val="32"/>
        </w:rPr>
        <w:t>2018年政府决算草案、2019年上半年预算执行情况、2019年预算调整方案于2019年7月25日经区十六届人大常委会第二十一次会议审议通过后，于2019年8月2日前通过区政府网站、首都之窗两个渠道向社会公开。2018年我区政府决算公开内容具体包括：丰台区2018年决算草案、关于丰台区2018年决算草案的报告、关于丰台区2018年“三公”经费财政拨款支出的说明、债务余额明细说明。2019年上半年预算执行情况公开内容为关于丰台区2019年上半年预算执行情况的报告。2019年预算调整方案公开内容为关于丰台区2019年区级预算调整方案的报告及草案。</w:t>
      </w:r>
      <w:r>
        <w:rPr>
          <w:rFonts w:ascii="仿宋" w:hAnsi="仿宋" w:eastAsia="仿宋" w:cs="Arial"/>
          <w:color w:val="2F332A"/>
          <w:sz w:val="36"/>
          <w:szCs w:val="36"/>
        </w:rPr>
        <w:t>  </w:t>
      </w:r>
    </w:p>
    <w:p w14:paraId="3A4E85E3">
      <w:pPr>
        <w:spacing w:line="560" w:lineRule="exact"/>
        <w:ind w:firstLine="640" w:firstLineChars="200"/>
        <w:rPr>
          <w:rFonts w:ascii="仿宋_GB2312" w:eastAsia="仿宋_GB2312"/>
          <w:sz w:val="32"/>
          <w:szCs w:val="32"/>
        </w:rPr>
      </w:pPr>
      <w:r>
        <w:rPr>
          <w:rFonts w:hint="eastAsia" w:ascii="仿宋_GB2312" w:eastAsia="仿宋_GB2312"/>
          <w:sz w:val="32"/>
          <w:szCs w:val="32"/>
        </w:rPr>
        <w:t>(3)扶贫资金使用情况的说明</w:t>
      </w:r>
    </w:p>
    <w:p w14:paraId="431F293E">
      <w:pPr>
        <w:spacing w:line="560" w:lineRule="exact"/>
        <w:ind w:firstLine="640" w:firstLineChars="200"/>
        <w:rPr>
          <w:rFonts w:ascii="仿宋_GB2312" w:eastAsia="仿宋_GB2312"/>
          <w:sz w:val="32"/>
          <w:szCs w:val="32"/>
        </w:rPr>
      </w:pPr>
      <w:r>
        <w:rPr>
          <w:rFonts w:hint="eastAsia" w:ascii="仿宋_GB2312" w:eastAsia="仿宋_GB2312"/>
          <w:sz w:val="32"/>
          <w:szCs w:val="32"/>
        </w:rPr>
        <w:t>2019年我区共安排扶贫资金1.82亿元，其中上解市财政8440万元，用于支援新疆、西藏、青海、内蒙古等贫困地区；安排区级扶贫资金9800万元，用于支援河北涞源、治多、扎赉特旗和林西县扶贫资金4800万元，安排房山区生态涵养结对协作资金5000万元。</w:t>
      </w:r>
    </w:p>
    <w:p w14:paraId="53DC3811">
      <w:pPr>
        <w:spacing w:line="560" w:lineRule="exact"/>
        <w:ind w:firstLine="640" w:firstLineChars="200"/>
        <w:rPr>
          <w:rFonts w:ascii="仿宋_GB2312" w:eastAsia="仿宋_GB2312"/>
          <w:sz w:val="32"/>
          <w:szCs w:val="32"/>
        </w:rPr>
      </w:pPr>
      <w:r>
        <w:rPr>
          <w:rFonts w:hint="eastAsia" w:ascii="仿宋_GB2312" w:eastAsia="仿宋_GB2312"/>
          <w:sz w:val="32"/>
          <w:szCs w:val="32"/>
        </w:rPr>
        <w:t>扶贫资金资金安排及使用情况共采用两种形式进行了公开，一是以信息的形式公开在区政府网站，二是包含在2019年预算执行情况中予以公开。</w:t>
      </w:r>
    </w:p>
    <w:p w14:paraId="08960F21">
      <w:pPr>
        <w:spacing w:line="560" w:lineRule="exact"/>
        <w:ind w:firstLine="640" w:firstLineChars="200"/>
        <w:rPr>
          <w:rFonts w:ascii="仿宋_GB2312" w:eastAsia="仿宋_GB2312"/>
          <w:sz w:val="32"/>
          <w:szCs w:val="32"/>
        </w:rPr>
      </w:pPr>
      <w:r>
        <w:rPr>
          <w:rFonts w:hint="eastAsia" w:ascii="仿宋_GB2312" w:eastAsia="仿宋_GB2312"/>
          <w:sz w:val="32"/>
          <w:szCs w:val="32"/>
        </w:rPr>
        <w:t>(4)部门预算公开情况</w:t>
      </w:r>
    </w:p>
    <w:p w14:paraId="2AE41AB0">
      <w:pPr>
        <w:spacing w:line="560" w:lineRule="exact"/>
        <w:ind w:firstLine="640" w:firstLineChars="200"/>
        <w:rPr>
          <w:rFonts w:ascii="仿宋_GB2312" w:eastAsia="仿宋_GB2312"/>
          <w:sz w:val="32"/>
          <w:szCs w:val="32"/>
        </w:rPr>
      </w:pPr>
      <w:r>
        <w:rPr>
          <w:rFonts w:hint="eastAsia" w:ascii="仿宋_GB2312" w:eastAsia="仿宋_GB2312"/>
          <w:sz w:val="32"/>
          <w:szCs w:val="32"/>
        </w:rPr>
        <w:t>全区111家使用财政拨款的预算单位已于2019年2月5日前在丰台区政府网站财政信息专栏集中公开了2019年部门预算，为方便公众多渠道查询，设立门户网站的单位通过其门户网站同步公开了预算信息。</w:t>
      </w:r>
    </w:p>
    <w:p w14:paraId="64CEC4E8">
      <w:pPr>
        <w:spacing w:line="560" w:lineRule="exact"/>
        <w:ind w:firstLine="640" w:firstLineChars="200"/>
        <w:rPr>
          <w:rFonts w:ascii="仿宋_GB2312" w:eastAsia="仿宋_GB2312"/>
          <w:sz w:val="32"/>
          <w:szCs w:val="32"/>
        </w:rPr>
      </w:pPr>
      <w:r>
        <w:rPr>
          <w:rFonts w:hint="eastAsia" w:ascii="仿宋_GB2312" w:eastAsia="仿宋_GB2312"/>
          <w:sz w:val="32"/>
          <w:szCs w:val="32"/>
        </w:rPr>
        <w:t>按照中央、北京市对部门预算公开的最新要求，2019年部门预算公开内容包括12张表、3个说明，分别是：1.部门预算编制说明；2.部门收支总体情况表； 3.部门收入总体情况表；4.部门支出总体情况表；5.财政拨款收支总体情况表；6. 财政拨款收入情况表；7.财政拨款支出情况表；8.一般公共预算支出情况表；9.政府性基金预算支出情况表； 10.一般公共预算基本支出情况表；11.一般公共预算“三公”经费支出情况表；12.一般公共预算“三公”经费安排及支出说明；13.项目支出预算表；14.项目绩效目标表；15.国有资产占有使用情况说明。没有数据的表格当列示空表并在表内备注说明。</w:t>
      </w:r>
    </w:p>
    <w:p w14:paraId="35C379BC">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一般公共预算支出情况、政府性基金预算支出情况均公开到功能分类的项级科目。一般公共预算基本支出情况表公开到经济分类的款级科目。</w:t>
      </w:r>
    </w:p>
    <w:p w14:paraId="27859C8F">
      <w:pPr>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一般公共预算“三公”经费支出情况表按因公出国（境）费、公务接待费、公车购置费、公车运行费各分项进行细化公开。一般公共预算“三公”经费安排及支出说明包括总额及各分项数额的增减变化说明。</w:t>
      </w:r>
    </w:p>
    <w:p w14:paraId="5316C28A">
      <w:pPr>
        <w:spacing w:line="560" w:lineRule="exact"/>
        <w:ind w:firstLine="640" w:firstLineChars="200"/>
        <w:rPr>
          <w:rFonts w:ascii="仿宋_GB2312" w:eastAsia="仿宋_GB2312"/>
          <w:sz w:val="32"/>
          <w:szCs w:val="32"/>
        </w:rPr>
      </w:pPr>
      <w:r>
        <w:rPr>
          <w:rFonts w:hint="eastAsia" w:ascii="仿宋_GB2312" w:eastAsia="仿宋_GB2312"/>
          <w:sz w:val="32"/>
          <w:szCs w:val="32"/>
        </w:rPr>
        <w:t>按照中央、市对部门预算公开的各项要求，我区已全部落实。</w:t>
      </w:r>
    </w:p>
    <w:p w14:paraId="047B66F0">
      <w:pPr>
        <w:spacing w:line="560" w:lineRule="exact"/>
        <w:ind w:firstLine="640" w:firstLineChars="200"/>
        <w:rPr>
          <w:rFonts w:ascii="仿宋_GB2312" w:eastAsia="仿宋_GB2312"/>
          <w:sz w:val="32"/>
          <w:szCs w:val="32"/>
        </w:rPr>
      </w:pPr>
      <w:r>
        <w:rPr>
          <w:rFonts w:hint="eastAsia" w:ascii="仿宋_GB2312" w:eastAsia="仿宋_GB2312"/>
          <w:sz w:val="32"/>
          <w:szCs w:val="32"/>
        </w:rPr>
        <w:t>（5）部门决算公开情况</w:t>
      </w:r>
    </w:p>
    <w:p w14:paraId="71051167">
      <w:pPr>
        <w:spacing w:line="560" w:lineRule="exact"/>
        <w:ind w:firstLine="640" w:firstLineChars="200"/>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我区2018年部门决算统一于2019年8月30日在区政府网站进行公开，其中区政府网站财政信息板块作为预决算公开的专栏，集中公开全区部门决算。公开部门共104家，实现除法定涉密信息外，所有使用财政拨款的部门均公开本部门决算。公开内容包括11张报表和说明，即收入支出决算总表、收入决算表、支出决算表、财政拨款收入支出决算总表、一般公共预算财政拨款支出决算表、一般公共预算财政拨款基本支出决算表、政府性基金预算财政拨款收入支出决算表、政府性基金预算财政拨款基本支出决算表、财政拨款“三公”经费支出决算表、政府采购情况表、政府购买服务支出情况表；部门决算说明；“三公”经费财政拨款决算情况、机关运行经费支出情况、政府采购支出情况、国有资产占用情况、行政事业性收费重点项目情况、国有资本经营预算财政拨款收支情况、政府购买服务支出情况事项说明以及部门绩效评价情况。以上报表和说明均为对标中央、北京市的要求及市财政公开模板后制定的统一模板。与上年相比，本年增加政府购买服务支出情况报表及说明，增加部门人员构成和内设机构数量情况说明，增加财政拨款收入支出决算总体情况说明，决算说明内容更加全面。</w:t>
      </w:r>
    </w:p>
    <w:p w14:paraId="6554CCA8">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（6）推进政府采购信息公开</w:t>
      </w:r>
    </w:p>
    <w:p w14:paraId="3D9C0031">
      <w:pPr>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根据《丰台区财政局关于转发财政部关于做好政府采购信息公开工作的通知》有关要求，丰台区财政局高度重视政府采购信息公开工作，不断加大政府采购规范化管理水平，严格遵守政府采购信息公开各项时间规定，并按规定对政府采购投诉处理结果进行了信息公开，并在各类培训中对信息公开工作重点强调，将信息公开要求落到实处，以公开促规范、促阳光。按规定，相关信息自完成并履行有关报审程序后5个工作日内，在北京市政府采购网公开。</w:t>
      </w:r>
    </w:p>
    <w:p w14:paraId="2D5232F6">
      <w:pPr>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（7）行政事业性收费目录清单公开情况</w:t>
      </w:r>
    </w:p>
    <w:p w14:paraId="6F9322C6">
      <w:pPr>
        <w:spacing w:line="560" w:lineRule="exact"/>
        <w:ind w:firstLine="640" w:firstLineChars="200"/>
        <w:rPr>
          <w:rFonts w:ascii="仿宋_GB2312" w:eastAsia="仿宋_GB2312"/>
          <w:sz w:val="32"/>
          <w:szCs w:val="32"/>
        </w:rPr>
      </w:pPr>
      <w:r>
        <w:rPr>
          <w:rFonts w:hint="eastAsia" w:ascii="仿宋_GB2312" w:eastAsia="仿宋_GB2312"/>
          <w:sz w:val="32"/>
          <w:szCs w:val="32"/>
        </w:rPr>
        <w:t>2019年，丰台区财政局严格落实行政事业性收费和政府性基金清理政策，及时转发国家及北京市行政事业性收费和政府性基金清理的政策文件，确保各执收单位及时落实清理政策，切实清理和规范收费项目。丰台区行政事业性收费和政府性基金目录及标准参照市财政局相应目录及标准执行，区财政局根据最新的行政事业性收费和政府性基金的政策文件及时更新维护收费项目目录，并在北京市政府信息公开专栏更新发布相应目录清单，包括《北京市行政事业性收费目录清单》《北京市政府性基金目录清单》以及《北京市涉企行政事业性收费目录清单》。</w:t>
      </w:r>
    </w:p>
    <w:p w14:paraId="2C4548FE">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（8）政府与社会资本合作（PPP）项目公开情况</w:t>
      </w:r>
    </w:p>
    <w:p w14:paraId="66FAD43B">
      <w:pPr>
        <w:spacing w:line="560" w:lineRule="exact"/>
        <w:ind w:firstLine="640" w:firstLineChars="200"/>
        <w:rPr>
          <w:rFonts w:ascii="仿宋_GB2312" w:hAnsi="微软雅黑" w:eastAsia="仿宋_GB2312" w:cs="宋体"/>
          <w:color w:val="000000"/>
          <w:kern w:val="0"/>
          <w:sz w:val="32"/>
          <w:szCs w:val="32"/>
        </w:rPr>
      </w:pPr>
      <w:r>
        <w:rPr>
          <w:rFonts w:hint="eastAsia" w:ascii="仿宋_GB2312" w:hAnsi="宋体" w:eastAsia="仿宋_GB2312" w:cs="宋体"/>
          <w:kern w:val="0"/>
          <w:sz w:val="32"/>
          <w:szCs w:val="32"/>
        </w:rPr>
        <w:t>当前，我区PPP项目在财政部政府和社会资本合作中心网站上进行公开，主要公开PPP项目基本情况、政府及社会资本出资情况、合作模式、合作期限、咨询服务等信息。实现PPP项目信息公开，包括项目基本信息、政府采购资格预审公告、采购文件、确认谈判备忘录、预中标或成交结果、项目合同文本、中标或成交结果等信息。截止到目前，丰台区有2个项目在该信息平台公开，分别是：丰台区河西再生</w:t>
      </w:r>
      <w:r>
        <w:rPr>
          <w:rFonts w:hint="eastAsia" w:ascii="仿宋_GB2312" w:hAnsi="微软雅黑" w:eastAsia="仿宋_GB2312" w:cs="宋体"/>
          <w:color w:val="000000"/>
          <w:kern w:val="0"/>
          <w:sz w:val="32"/>
          <w:szCs w:val="32"/>
        </w:rPr>
        <w:t>水厂二期政府和社会资本合作项目、丰台区循环经济产业园建筑垃圾资源化处理厂项目。</w:t>
      </w:r>
    </w:p>
    <w:p w14:paraId="686126A4">
      <w:pPr>
        <w:adjustRightInd w:val="0"/>
        <w:snapToGrid w:val="0"/>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（二）依申请公开办理情况</w:t>
      </w:r>
    </w:p>
    <w:p w14:paraId="25990994">
      <w:pPr>
        <w:adjustRightInd w:val="0"/>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丰台区财政局通过</w:t>
      </w:r>
      <w:r>
        <w:rPr>
          <w:rFonts w:hint="eastAsia" w:ascii="仿宋_GB2312" w:eastAsia="仿宋_GB2312"/>
          <w:sz w:val="32"/>
          <w:szCs w:val="32"/>
        </w:rPr>
        <w:t>设立专门受理申请信息公开岗位，在</w:t>
      </w:r>
      <w:r>
        <w:rPr>
          <w:rFonts w:hint="eastAsia" w:ascii="仿宋_GB2312" w:hAnsi="宋体" w:eastAsia="仿宋_GB2312" w:cs="宋体"/>
          <w:kern w:val="0"/>
          <w:sz w:val="32"/>
          <w:szCs w:val="32"/>
        </w:rPr>
        <w:t>门户网站公开财政局公共邮箱，并专门开设投诉信箱等方式，不断畅通受理渠道，为群众申请信息公开提供便利条件。</w:t>
      </w:r>
    </w:p>
    <w:p w14:paraId="476BADE4">
      <w:pPr>
        <w:spacing w:line="560" w:lineRule="exact"/>
        <w:ind w:firstLine="645"/>
        <w:rPr>
          <w:rFonts w:ascii="楷体_GB2312" w:hAnsi="华文中宋" w:eastAsia="楷体_GB2312"/>
          <w:sz w:val="32"/>
          <w:szCs w:val="32"/>
        </w:rPr>
      </w:pPr>
      <w:r>
        <w:rPr>
          <w:rFonts w:hint="eastAsia" w:ascii="楷体_GB2312" w:hAnsi="华文中宋" w:eastAsia="楷体_GB2312"/>
          <w:sz w:val="32"/>
          <w:szCs w:val="32"/>
        </w:rPr>
        <w:t>1.申请情况</w:t>
      </w:r>
    </w:p>
    <w:p w14:paraId="0A96815A">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2019年新收政府信息公开数量72件。申请方式多种多样，其中，当面申请67件，占总数的93.06%；通过互联网电子邮件申请1件，占总数的1.39%；以传真形式申请1件，占总数的1.39%；以信函形式申请3件，占总数的4.17%。可见，当面申请受理是我局最常见的依申请公开申请方式。</w:t>
      </w:r>
    </w:p>
    <w:p w14:paraId="7C10B105">
      <w:pPr>
        <w:ind w:firstLine="420" w:firstLineChars="200"/>
        <w:rPr>
          <w:rFonts w:ascii="仿宋_GB2312" w:hAnsi="宋体" w:eastAsia="仿宋_GB2312" w:cs="宋体"/>
          <w:kern w:val="0"/>
          <w:sz w:val="32"/>
          <w:szCs w:val="32"/>
        </w:rPr>
      </w:pPr>
      <w:r>
        <w:drawing>
          <wp:inline distT="0" distB="0" distL="0" distR="0">
            <wp:extent cx="4572000" cy="27432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27B8A1B">
      <w:pPr>
        <w:spacing w:line="560" w:lineRule="exact"/>
        <w:ind w:firstLine="645"/>
        <w:rPr>
          <w:rFonts w:ascii="楷体_GB2312" w:hAnsi="华文中宋" w:eastAsia="楷体_GB2312"/>
          <w:sz w:val="32"/>
          <w:szCs w:val="32"/>
        </w:rPr>
      </w:pPr>
      <w:r>
        <w:rPr>
          <w:rFonts w:hint="eastAsia" w:ascii="楷体_GB2312" w:hAnsi="华文中宋" w:eastAsia="楷体_GB2312"/>
          <w:sz w:val="32"/>
          <w:szCs w:val="32"/>
        </w:rPr>
        <w:t>2.答复情况</w:t>
      </w:r>
    </w:p>
    <w:p w14:paraId="44BF5A58">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2019年的72件依申请公开信息及上年结转12件均已按期答复，不存在需要结转2020年答复的信息申请。本年答复的84项信息公开中:“予以公开”申请数66项，占总数的62.8%；“申请信息不存在”申请数16项，占总数的26.9％；信访类申请1项，占总数的2.6%；其他处理1项，占总数的2.6%。2019年依申请公开工作未收取任何检索、制作、邮寄费用。</w:t>
      </w:r>
    </w:p>
    <w:p w14:paraId="15D0F61C">
      <w:pPr>
        <w:ind w:firstLine="464" w:firstLineChars="221"/>
        <w:rPr>
          <w:rFonts w:ascii="仿宋_GB2312" w:hAnsi="宋体" w:eastAsia="仿宋_GB2312" w:cs="宋体"/>
          <w:kern w:val="0"/>
          <w:sz w:val="32"/>
          <w:szCs w:val="32"/>
        </w:rPr>
      </w:pPr>
      <w:r>
        <w:drawing>
          <wp:inline distT="0" distB="0" distL="0" distR="0">
            <wp:extent cx="4572000" cy="2743200"/>
            <wp:effectExtent l="0" t="0" r="19050"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1BA5380">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（三）政府信息资源的规范化、标准化管理情况</w:t>
      </w:r>
    </w:p>
    <w:p w14:paraId="10FB9045">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根据《中华人民共和国政府信息公开条例》、《北京市政府信息公开规定》及其他有关法律、法规，结合我局工作实际，制定《丰台区财政局信息公开管理办法》并向全局发布，以进一步规范本单位信息公开工作。</w:t>
      </w:r>
    </w:p>
    <w:p w14:paraId="3EEB841E">
      <w:pPr>
        <w:widowControl/>
        <w:spacing w:line="560" w:lineRule="exact"/>
        <w:ind w:firstLine="640" w:firstLineChars="200"/>
        <w:rPr>
          <w:rFonts w:ascii="楷体_GB2312" w:hAnsi="宋体" w:eastAsia="楷体_GB2312" w:cs="宋体"/>
          <w:kern w:val="0"/>
          <w:sz w:val="32"/>
          <w:szCs w:val="32"/>
        </w:rPr>
      </w:pPr>
      <w:r>
        <w:rPr>
          <w:rFonts w:hint="eastAsia" w:ascii="仿宋_GB2312" w:hAnsi="宋体" w:eastAsia="仿宋_GB2312" w:cs="宋体"/>
          <w:kern w:val="0"/>
          <w:sz w:val="32"/>
          <w:szCs w:val="32"/>
        </w:rPr>
        <w:t>成立由局长担任组长、多科室作为小组成员的政府信息公开领导小组，完善信息公开工作机制，将信息公开工作职责分工压实到各个科室，大大提高了信息公开工作的规范性。</w:t>
      </w:r>
    </w:p>
    <w:p w14:paraId="085594BA">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设立负责汇总统计报送信息的专门岗位，并建立主动公开信息备份文档，以便规范计数和管理主动公开信息。严格按照全区统一标准开设信息公开栏目，每天维护更新丰台区财政局信息公开栏目，确保做到</w:t>
      </w:r>
      <w:bookmarkStart w:id="1" w:name="_GoBack"/>
      <w:bookmarkEnd w:id="1"/>
      <w:r>
        <w:rPr>
          <w:rFonts w:hint="eastAsia" w:ascii="仿宋_GB2312" w:hAnsi="宋体" w:eastAsia="仿宋_GB2312" w:cs="宋体"/>
          <w:kern w:val="0"/>
          <w:sz w:val="32"/>
          <w:szCs w:val="32"/>
        </w:rPr>
        <w:t>以“公开为常态，不公开为例外”。</w:t>
      </w:r>
    </w:p>
    <w:p w14:paraId="35327064">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（四）政府信息公开平台建设情况</w:t>
      </w:r>
    </w:p>
    <w:p w14:paraId="356B625C">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2019年北京市丰台区人民政府网站重新改版上线，我局依托丰台区政府公开平台设立丰台区财政局信息公开专栏，公开专栏按照区政府要求设置，涵盖机构职能、法规文件、规划计划、行政职责、业务动态五大板块，各个板块下还有具体列表项目的划分，不断优化检索功能栏，便于社会公众检索查找信息。开设“丰台财政”微信公众平台，对财政重点工作进行宣传，进一步扩大了财政信息公开的覆盖面和影响力。</w:t>
      </w:r>
    </w:p>
    <w:p w14:paraId="397BEA32">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（五）政府信息公开监督保障及教育培训情况</w:t>
      </w:r>
    </w:p>
    <w:p w14:paraId="51FBBB15">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1.监督保障情况</w:t>
      </w:r>
    </w:p>
    <w:p w14:paraId="0D13054C">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我局按照“谁制作谁公开、谁保存谁公开、谁公开谁负责、先审查后公开的”信息公开原则推进信息公开工作。由科室工作人员起草主动公开信息，提出具体发布位置、形式和时限；科室负责人进行信息公开前的保密审查，并报局领导审批；领导审批通过后转交办公室复核并对外发布；由人教科、办公室牵头建立信息公开考核制度，并按照区政府信息公开工作要求对科室政府信息公开的实施情况进行监督检查。</w:t>
      </w:r>
    </w:p>
    <w:p w14:paraId="7B26EAAA">
      <w:pPr>
        <w:spacing w:line="560" w:lineRule="atLeas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2.教育培训情况</w:t>
      </w:r>
    </w:p>
    <w:p w14:paraId="43BF45E2">
      <w:pPr>
        <w:spacing w:line="560" w:lineRule="atLeast"/>
        <w:ind w:firstLine="640" w:firstLineChars="200"/>
        <w:rPr>
          <w:rFonts w:ascii="Arial" w:hAnsi="Arial" w:eastAsia="宋体" w:cs="Arial"/>
          <w:b/>
          <w:bCs/>
          <w:kern w:val="0"/>
          <w:sz w:val="45"/>
          <w:szCs w:val="45"/>
        </w:rPr>
      </w:pPr>
      <w:r>
        <w:rPr>
          <w:rFonts w:hint="eastAsia" w:ascii="仿宋_GB2312" w:hAnsi="宋体" w:eastAsia="仿宋_GB2312" w:cs="宋体"/>
          <w:kern w:val="0"/>
          <w:sz w:val="32"/>
          <w:szCs w:val="32"/>
        </w:rPr>
        <w:t>2019年4月3日中华人民共和国国务院令第711号修订了《中华人民共和国政府信息公开条例》，规定自2019年5月15日起实施。4月21日，</w:t>
      </w:r>
      <w:r>
        <w:rPr>
          <w:rFonts w:hint="eastAsia" w:ascii="仿宋_GB2312" w:hAnsi="Arial" w:eastAsia="仿宋_GB2312" w:cs="Arial"/>
          <w:bCs/>
          <w:kern w:val="0"/>
          <w:sz w:val="32"/>
          <w:szCs w:val="32"/>
        </w:rPr>
        <w:t>办公室组织科务会学习新《中华人民共和国政府信息公开条例》，并总结出条例修改前后的对照表以及修改后的符合局情的重点条例，以便各科室研究学习。积极主动参加区内统一组织召开的各项信息公开工作会议和培训活动，确保本单位信息公开工作贴合最新政策要求，与全区保持同步。</w:t>
      </w:r>
    </w:p>
    <w:p w14:paraId="258F3E09">
      <w:pPr>
        <w:widowControl/>
        <w:spacing w:line="560" w:lineRule="exact"/>
        <w:ind w:firstLine="640" w:firstLineChars="200"/>
        <w:rPr>
          <w:rFonts w:ascii="楷体_GB2312" w:eastAsia="楷体_GB2312"/>
          <w:sz w:val="32"/>
          <w:szCs w:val="32"/>
        </w:rPr>
      </w:pPr>
      <w:r>
        <w:rPr>
          <w:rFonts w:hint="eastAsia" w:ascii="楷体_GB2312" w:eastAsia="楷体_GB2312"/>
          <w:sz w:val="32"/>
          <w:szCs w:val="32"/>
        </w:rPr>
        <w:t>（六）市和区人民政府工作考核、社会评议和责任追究结果情况</w:t>
      </w:r>
    </w:p>
    <w:p w14:paraId="555A3F67">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根据最近区政府信息公开办考核结果，对我</w:t>
      </w:r>
      <w:r>
        <w:rPr>
          <w:rFonts w:hint="eastAsia" w:ascii="仿宋_GB2312" w:eastAsia="仿宋_GB2312"/>
          <w:color w:val="000000"/>
          <w:sz w:val="32"/>
          <w:szCs w:val="32"/>
        </w:rPr>
        <w:t>单位主动公开、依申请公开、组织保障、创新创优等</w:t>
      </w:r>
      <w:r>
        <w:rPr>
          <w:rFonts w:hint="eastAsia" w:ascii="仿宋_GB2312" w:eastAsia="仿宋_GB2312"/>
          <w:bCs/>
          <w:color w:val="000000"/>
          <w:sz w:val="32"/>
          <w:szCs w:val="32"/>
        </w:rPr>
        <w:t>政府信息与政务公开工作</w:t>
      </w:r>
      <w:r>
        <w:rPr>
          <w:rFonts w:hint="eastAsia" w:ascii="仿宋_GB2312" w:eastAsia="仿宋_GB2312"/>
          <w:color w:val="000000"/>
          <w:sz w:val="32"/>
          <w:szCs w:val="32"/>
        </w:rPr>
        <w:t>进行考评，共设置26项指标，</w:t>
      </w:r>
      <w:r>
        <w:rPr>
          <w:rFonts w:hint="eastAsia" w:ascii="仿宋_GB2312" w:eastAsia="仿宋_GB2312"/>
          <w:sz w:val="32"/>
          <w:szCs w:val="32"/>
        </w:rPr>
        <w:t>本单位不存在扣分项。对我单位政府网站建设进行</w:t>
      </w:r>
      <w:r>
        <w:rPr>
          <w:rFonts w:hint="eastAsia" w:ascii="仿宋_GB2312" w:eastAsia="仿宋_GB2312" w:cs="仿宋_GB2312"/>
          <w:color w:val="000000"/>
          <w:sz w:val="32"/>
          <w:szCs w:val="32"/>
        </w:rPr>
        <w:t>考评，包括网站健康水平、网站规范管理、网站集约整合、网站功能建设、管理体制机制建设、与区政府门户网站合作共建等六项工作内容，我局无减分项。</w:t>
      </w:r>
    </w:p>
    <w:p w14:paraId="76C1363F">
      <w:pPr>
        <w:widowControl/>
        <w:shd w:val="clear" w:color="auto" w:fill="FFFFFF"/>
        <w:spacing w:line="560" w:lineRule="exact"/>
        <w:ind w:firstLine="788" w:firstLineChars="200"/>
        <w:rPr>
          <w:rFonts w:ascii="黑体" w:hAnsi="黑体" w:eastAsia="黑体" w:cs="Arial"/>
          <w:bCs/>
          <w:color w:val="333333"/>
          <w:spacing w:val="37"/>
          <w:kern w:val="0"/>
          <w:sz w:val="32"/>
          <w:szCs w:val="32"/>
        </w:rPr>
      </w:pPr>
      <w:r>
        <w:rPr>
          <w:rFonts w:hint="eastAsia" w:ascii="黑体" w:hAnsi="黑体" w:eastAsia="黑体" w:cs="Arial"/>
          <w:bCs/>
          <w:color w:val="333333"/>
          <w:spacing w:val="37"/>
          <w:kern w:val="0"/>
          <w:sz w:val="32"/>
          <w:szCs w:val="32"/>
        </w:rPr>
        <w:t>二、主动公开政府信息情况</w:t>
      </w:r>
    </w:p>
    <w:tbl>
      <w:tblPr>
        <w:tblStyle w:val="8"/>
        <w:tblW w:w="8803" w:type="dxa"/>
        <w:jc w:val="center"/>
        <w:tblLayout w:type="fixed"/>
        <w:tblCellMar>
          <w:top w:w="0" w:type="dxa"/>
          <w:left w:w="30" w:type="dxa"/>
          <w:bottom w:w="0" w:type="dxa"/>
          <w:right w:w="30" w:type="dxa"/>
        </w:tblCellMar>
      </w:tblPr>
      <w:tblGrid>
        <w:gridCol w:w="1380"/>
        <w:gridCol w:w="1042"/>
        <w:gridCol w:w="1962"/>
        <w:gridCol w:w="1854"/>
        <w:gridCol w:w="2565"/>
      </w:tblGrid>
      <w:tr w14:paraId="3439E9ED">
        <w:tblPrEx>
          <w:tblCellMar>
            <w:top w:w="0" w:type="dxa"/>
            <w:left w:w="30" w:type="dxa"/>
            <w:bottom w:w="0" w:type="dxa"/>
            <w:right w:w="30" w:type="dxa"/>
          </w:tblCellMar>
        </w:tblPrEx>
        <w:trPr>
          <w:trHeight w:val="537" w:hRule="atLeast"/>
          <w:jc w:val="center"/>
        </w:trPr>
        <w:tc>
          <w:tcPr>
            <w:tcW w:w="8803"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894A01E">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第二十条第（一）项</w:t>
            </w:r>
          </w:p>
        </w:tc>
      </w:tr>
      <w:tr w14:paraId="2E3F9F01">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4D064AC">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信息内容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6DC57AA8">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本年新制作数量</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42513859">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本年新公开数量</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2ED331E1">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对外公开总数量</w:t>
            </w:r>
          </w:p>
        </w:tc>
      </w:tr>
      <w:tr w14:paraId="454D48E7">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3B0E98F">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规章</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48EC9604">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123EE360">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175B4AB9">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r>
      <w:tr w14:paraId="0BEC5088">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9403B27">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规范性文件</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5AAEBAD6">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3</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506242DC">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3</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60C01747">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3</w:t>
            </w:r>
          </w:p>
        </w:tc>
      </w:tr>
      <w:tr w14:paraId="1D748BFF">
        <w:tblPrEx>
          <w:tblCellMar>
            <w:top w:w="0" w:type="dxa"/>
            <w:left w:w="30" w:type="dxa"/>
            <w:bottom w:w="0" w:type="dxa"/>
            <w:right w:w="30" w:type="dxa"/>
          </w:tblCellMar>
        </w:tblPrEx>
        <w:trPr>
          <w:trHeight w:val="537" w:hRule="atLeast"/>
          <w:jc w:val="center"/>
        </w:trPr>
        <w:tc>
          <w:tcPr>
            <w:tcW w:w="8803"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1D2F16A">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第二十条第（五）项</w:t>
            </w:r>
          </w:p>
        </w:tc>
      </w:tr>
      <w:tr w14:paraId="15D200AE">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5C9C035">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信息内容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14381416">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上一年项目数量</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5A800F6F">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本年增</w:t>
            </w:r>
            <w:r>
              <w:rPr>
                <w:rFonts w:ascii="宋体" w:eastAsia="宋体" w:cs="宋体"/>
                <w:color w:val="000000"/>
                <w:kern w:val="0"/>
                <w:sz w:val="24"/>
                <w:szCs w:val="24"/>
              </w:rPr>
              <w:t>/</w:t>
            </w:r>
            <w:r>
              <w:rPr>
                <w:rFonts w:hint="eastAsia" w:ascii="宋体" w:eastAsia="宋体" w:cs="宋体"/>
                <w:color w:val="000000"/>
                <w:kern w:val="0"/>
                <w:sz w:val="24"/>
                <w:szCs w:val="24"/>
              </w:rPr>
              <w:t>减</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1852F079">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处理决定数量</w:t>
            </w:r>
          </w:p>
        </w:tc>
      </w:tr>
      <w:tr w14:paraId="35FBB4E2">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6E9A588">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行政许可</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6740717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14341635">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76D3CF9F">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60</w:t>
            </w:r>
          </w:p>
        </w:tc>
      </w:tr>
      <w:tr w14:paraId="5E50FAD3">
        <w:tblPrEx>
          <w:tblCellMar>
            <w:top w:w="0" w:type="dxa"/>
            <w:left w:w="30" w:type="dxa"/>
            <w:bottom w:w="0" w:type="dxa"/>
            <w:right w:w="30" w:type="dxa"/>
          </w:tblCellMar>
        </w:tblPrEx>
        <w:trPr>
          <w:trHeight w:val="537" w:hRule="atLeast"/>
          <w:jc w:val="center"/>
        </w:trPr>
        <w:tc>
          <w:tcPr>
            <w:tcW w:w="1380" w:type="dxa"/>
            <w:vMerge w:val="restart"/>
            <w:tcBorders>
              <w:top w:val="single" w:color="auto" w:sz="6" w:space="0"/>
              <w:left w:val="single" w:color="auto" w:sz="6" w:space="0"/>
              <w:right w:val="single" w:color="auto" w:sz="6" w:space="0"/>
            </w:tcBorders>
            <w:shd w:val="clear" w:color="auto" w:fill="auto"/>
            <w:vAlign w:val="center"/>
          </w:tcPr>
          <w:p w14:paraId="3564E162">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其他对外管理服务事项</w:t>
            </w:r>
          </w:p>
        </w:tc>
        <w:tc>
          <w:tcPr>
            <w:tcW w:w="1042" w:type="dxa"/>
            <w:tcBorders>
              <w:top w:val="single" w:color="auto" w:sz="6" w:space="0"/>
              <w:left w:val="single" w:color="auto" w:sz="6" w:space="0"/>
              <w:bottom w:val="single" w:color="auto" w:sz="6" w:space="0"/>
              <w:right w:val="single" w:color="auto" w:sz="6" w:space="0"/>
            </w:tcBorders>
            <w:shd w:val="clear" w:color="auto" w:fill="auto"/>
            <w:vAlign w:val="center"/>
          </w:tcPr>
          <w:p w14:paraId="78F19B33">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行政检查</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7689FD26">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5A09D0F9">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7A8368DC">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r>
      <w:tr w14:paraId="73B6FC5D">
        <w:tblPrEx>
          <w:tblCellMar>
            <w:top w:w="0" w:type="dxa"/>
            <w:left w:w="30" w:type="dxa"/>
            <w:bottom w:w="0" w:type="dxa"/>
            <w:right w:w="30" w:type="dxa"/>
          </w:tblCellMar>
        </w:tblPrEx>
        <w:trPr>
          <w:trHeight w:val="537" w:hRule="atLeast"/>
          <w:jc w:val="center"/>
        </w:trPr>
        <w:tc>
          <w:tcPr>
            <w:tcW w:w="1380" w:type="dxa"/>
            <w:vMerge w:val="continue"/>
            <w:tcBorders>
              <w:left w:val="single" w:color="auto" w:sz="6" w:space="0"/>
              <w:bottom w:val="single" w:color="auto" w:sz="6" w:space="0"/>
              <w:right w:val="single" w:color="auto" w:sz="6" w:space="0"/>
            </w:tcBorders>
            <w:shd w:val="clear" w:color="auto" w:fill="auto"/>
            <w:vAlign w:val="center"/>
          </w:tcPr>
          <w:p w14:paraId="77D7C4C3">
            <w:pPr>
              <w:autoSpaceDE w:val="0"/>
              <w:autoSpaceDN w:val="0"/>
              <w:adjustRightInd w:val="0"/>
              <w:jc w:val="center"/>
              <w:rPr>
                <w:rFonts w:ascii="宋体" w:eastAsia="宋体" w:cs="宋体"/>
                <w:color w:val="000000"/>
                <w:kern w:val="0"/>
                <w:sz w:val="24"/>
                <w:szCs w:val="24"/>
              </w:rPr>
            </w:pPr>
          </w:p>
        </w:tc>
        <w:tc>
          <w:tcPr>
            <w:tcW w:w="1042" w:type="dxa"/>
            <w:tcBorders>
              <w:top w:val="single" w:color="auto" w:sz="6" w:space="0"/>
              <w:left w:val="single" w:color="auto" w:sz="6" w:space="0"/>
              <w:bottom w:val="single" w:color="auto" w:sz="6" w:space="0"/>
              <w:right w:val="single" w:color="auto" w:sz="6" w:space="0"/>
            </w:tcBorders>
            <w:shd w:val="clear" w:color="auto" w:fill="auto"/>
            <w:vAlign w:val="center"/>
          </w:tcPr>
          <w:p w14:paraId="7283AC80">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行政确认</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6C175A06">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75B6620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102986FE">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w:t>
            </w:r>
          </w:p>
        </w:tc>
      </w:tr>
      <w:tr w14:paraId="58B9C123">
        <w:tblPrEx>
          <w:tblCellMar>
            <w:top w:w="0" w:type="dxa"/>
            <w:left w:w="30" w:type="dxa"/>
            <w:bottom w:w="0" w:type="dxa"/>
            <w:right w:w="30" w:type="dxa"/>
          </w:tblCellMar>
        </w:tblPrEx>
        <w:trPr>
          <w:trHeight w:val="537" w:hRule="atLeast"/>
          <w:jc w:val="center"/>
        </w:trPr>
        <w:tc>
          <w:tcPr>
            <w:tcW w:w="8803"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6D99296E">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第二十条第（六）项</w:t>
            </w:r>
          </w:p>
        </w:tc>
      </w:tr>
      <w:tr w14:paraId="759791B7">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E628EAF">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信息内容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10192B34">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上一年项目数量</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62E8B036">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本年增</w:t>
            </w:r>
            <w:r>
              <w:rPr>
                <w:rFonts w:ascii="宋体" w:eastAsia="宋体" w:cs="宋体"/>
                <w:color w:val="000000"/>
                <w:kern w:val="0"/>
                <w:sz w:val="24"/>
                <w:szCs w:val="24"/>
              </w:rPr>
              <w:t>/</w:t>
            </w:r>
            <w:r>
              <w:rPr>
                <w:rFonts w:hint="eastAsia" w:ascii="宋体" w:eastAsia="宋体" w:cs="宋体"/>
                <w:color w:val="000000"/>
                <w:kern w:val="0"/>
                <w:sz w:val="24"/>
                <w:szCs w:val="24"/>
              </w:rPr>
              <w:t>减</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7920ABCF">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处理决定数量</w:t>
            </w:r>
          </w:p>
        </w:tc>
      </w:tr>
      <w:tr w14:paraId="099850C2">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C379825">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行政处罚</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43F150F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279</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439A36EE">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42664BB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5</w:t>
            </w:r>
          </w:p>
        </w:tc>
      </w:tr>
      <w:tr w14:paraId="6C4998E2">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40D7B7F">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行政强制</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24EF0C86">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1854" w:type="dxa"/>
            <w:tcBorders>
              <w:top w:val="single" w:color="auto" w:sz="6" w:space="0"/>
              <w:left w:val="single" w:color="auto" w:sz="6" w:space="0"/>
              <w:bottom w:val="single" w:color="auto" w:sz="6" w:space="0"/>
              <w:right w:val="single" w:color="auto" w:sz="6" w:space="0"/>
            </w:tcBorders>
            <w:shd w:val="clear" w:color="auto" w:fill="auto"/>
            <w:vAlign w:val="center"/>
          </w:tcPr>
          <w:p w14:paraId="495DBDDD">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c>
          <w:tcPr>
            <w:tcW w:w="2565" w:type="dxa"/>
            <w:tcBorders>
              <w:top w:val="single" w:color="auto" w:sz="6" w:space="0"/>
              <w:left w:val="single" w:color="auto" w:sz="6" w:space="0"/>
              <w:bottom w:val="single" w:color="auto" w:sz="6" w:space="0"/>
              <w:right w:val="single" w:color="auto" w:sz="6" w:space="0"/>
            </w:tcBorders>
            <w:shd w:val="clear" w:color="auto" w:fill="auto"/>
            <w:vAlign w:val="center"/>
          </w:tcPr>
          <w:p w14:paraId="51956021">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r>
      <w:tr w14:paraId="601A4712">
        <w:tblPrEx>
          <w:tblCellMar>
            <w:top w:w="0" w:type="dxa"/>
            <w:left w:w="30" w:type="dxa"/>
            <w:bottom w:w="0" w:type="dxa"/>
            <w:right w:w="30" w:type="dxa"/>
          </w:tblCellMar>
        </w:tblPrEx>
        <w:trPr>
          <w:trHeight w:val="537" w:hRule="atLeast"/>
          <w:jc w:val="center"/>
        </w:trPr>
        <w:tc>
          <w:tcPr>
            <w:tcW w:w="8803"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1D2614C9">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第二十条第（八）项</w:t>
            </w:r>
          </w:p>
        </w:tc>
      </w:tr>
      <w:tr w14:paraId="62544F3E">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030E818">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信息内容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045B1A37">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上一年项目数量</w:t>
            </w:r>
          </w:p>
        </w:tc>
        <w:tc>
          <w:tcPr>
            <w:tcW w:w="44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F93546E">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本年增</w:t>
            </w:r>
            <w:r>
              <w:rPr>
                <w:rFonts w:ascii="宋体" w:eastAsia="宋体" w:cs="宋体"/>
                <w:color w:val="000000"/>
                <w:kern w:val="0"/>
                <w:sz w:val="24"/>
                <w:szCs w:val="24"/>
              </w:rPr>
              <w:t>/</w:t>
            </w:r>
            <w:r>
              <w:rPr>
                <w:rFonts w:hint="eastAsia" w:ascii="宋体" w:eastAsia="宋体" w:cs="宋体"/>
                <w:color w:val="000000"/>
                <w:kern w:val="0"/>
                <w:sz w:val="24"/>
                <w:szCs w:val="24"/>
              </w:rPr>
              <w:t>减</w:t>
            </w:r>
          </w:p>
        </w:tc>
      </w:tr>
      <w:tr w14:paraId="412EC420">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9AF8E5D">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行政事业性收费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67F0B41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w:t>
            </w:r>
          </w:p>
        </w:tc>
        <w:tc>
          <w:tcPr>
            <w:tcW w:w="44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318CCFE">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0</w:t>
            </w:r>
          </w:p>
        </w:tc>
      </w:tr>
      <w:tr w14:paraId="5B066730">
        <w:tblPrEx>
          <w:tblCellMar>
            <w:top w:w="0" w:type="dxa"/>
            <w:left w:w="30" w:type="dxa"/>
            <w:bottom w:w="0" w:type="dxa"/>
            <w:right w:w="30" w:type="dxa"/>
          </w:tblCellMar>
        </w:tblPrEx>
        <w:trPr>
          <w:trHeight w:val="537" w:hRule="atLeast"/>
          <w:jc w:val="center"/>
        </w:trPr>
        <w:tc>
          <w:tcPr>
            <w:tcW w:w="8803"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5D3D3937">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第二十条第（九）项</w:t>
            </w:r>
          </w:p>
        </w:tc>
      </w:tr>
      <w:tr w14:paraId="49ACE13B">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91BA53E">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信息内容</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7E4F21FE">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采购项目数量</w:t>
            </w:r>
          </w:p>
        </w:tc>
        <w:tc>
          <w:tcPr>
            <w:tcW w:w="44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62ABB2D">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采购总金额（万元，保留四位小数）</w:t>
            </w:r>
          </w:p>
        </w:tc>
      </w:tr>
      <w:tr w14:paraId="52F6A407">
        <w:tblPrEx>
          <w:tblCellMar>
            <w:top w:w="0" w:type="dxa"/>
            <w:left w:w="30" w:type="dxa"/>
            <w:bottom w:w="0" w:type="dxa"/>
            <w:right w:w="30" w:type="dxa"/>
          </w:tblCellMar>
        </w:tblPrEx>
        <w:trPr>
          <w:trHeight w:val="537" w:hRule="atLeast"/>
          <w:jc w:val="center"/>
        </w:trPr>
        <w:tc>
          <w:tcPr>
            <w:tcW w:w="2422"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2A66F2A">
            <w:pPr>
              <w:autoSpaceDE w:val="0"/>
              <w:autoSpaceDN w:val="0"/>
              <w:adjustRightInd w:val="0"/>
              <w:jc w:val="center"/>
              <w:rPr>
                <w:rFonts w:ascii="宋体" w:eastAsia="宋体" w:cs="宋体"/>
                <w:color w:val="000000"/>
                <w:kern w:val="0"/>
                <w:sz w:val="24"/>
                <w:szCs w:val="24"/>
              </w:rPr>
            </w:pPr>
            <w:r>
              <w:rPr>
                <w:rFonts w:hint="eastAsia" w:ascii="宋体" w:eastAsia="宋体" w:cs="宋体"/>
                <w:color w:val="000000"/>
                <w:kern w:val="0"/>
                <w:sz w:val="24"/>
                <w:szCs w:val="24"/>
              </w:rPr>
              <w:t>政府集中采购</w:t>
            </w:r>
          </w:p>
        </w:tc>
        <w:tc>
          <w:tcPr>
            <w:tcW w:w="1962" w:type="dxa"/>
            <w:tcBorders>
              <w:top w:val="single" w:color="auto" w:sz="6" w:space="0"/>
              <w:left w:val="single" w:color="auto" w:sz="6" w:space="0"/>
              <w:bottom w:val="single" w:color="auto" w:sz="6" w:space="0"/>
              <w:right w:val="single" w:color="auto" w:sz="6" w:space="0"/>
            </w:tcBorders>
            <w:shd w:val="clear" w:color="auto" w:fill="auto"/>
            <w:vAlign w:val="center"/>
          </w:tcPr>
          <w:p w14:paraId="5DED2652">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57</w:t>
            </w:r>
          </w:p>
        </w:tc>
        <w:tc>
          <w:tcPr>
            <w:tcW w:w="441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F738BF5">
            <w:pPr>
              <w:autoSpaceDE w:val="0"/>
              <w:autoSpaceDN w:val="0"/>
              <w:adjustRightInd w:val="0"/>
              <w:jc w:val="center"/>
              <w:rPr>
                <w:rFonts w:ascii="宋体" w:eastAsia="宋体" w:cs="宋体"/>
                <w:color w:val="000000"/>
                <w:kern w:val="0"/>
                <w:sz w:val="24"/>
                <w:szCs w:val="24"/>
              </w:rPr>
            </w:pPr>
            <w:r>
              <w:rPr>
                <w:rFonts w:ascii="宋体" w:eastAsia="宋体" w:cs="宋体"/>
                <w:color w:val="000000"/>
                <w:kern w:val="0"/>
                <w:sz w:val="24"/>
                <w:szCs w:val="24"/>
              </w:rPr>
              <w:t>1301.7639</w:t>
            </w:r>
          </w:p>
        </w:tc>
      </w:tr>
    </w:tbl>
    <w:p w14:paraId="1AA3D300">
      <w:pPr>
        <w:widowControl/>
        <w:shd w:val="clear" w:color="auto" w:fill="FFFFFF"/>
        <w:spacing w:line="560" w:lineRule="exact"/>
        <w:ind w:firstLine="640" w:firstLineChars="200"/>
        <w:rPr>
          <w:rFonts w:ascii="黑体" w:hAnsi="黑体" w:eastAsia="黑体" w:cs="Arial"/>
          <w:bCs/>
          <w:color w:val="333333"/>
          <w:spacing w:val="37"/>
          <w:kern w:val="0"/>
          <w:sz w:val="32"/>
          <w:szCs w:val="32"/>
        </w:rPr>
      </w:pPr>
      <w:r>
        <w:rPr>
          <w:rFonts w:hint="eastAsia" w:ascii="黑体" w:hAnsi="黑体" w:eastAsia="黑体"/>
          <w:sz w:val="32"/>
          <w:szCs w:val="32"/>
        </w:rPr>
        <w:t>三、</w:t>
      </w:r>
      <w:r>
        <w:rPr>
          <w:rFonts w:hint="eastAsia" w:ascii="黑体" w:hAnsi="黑体" w:eastAsia="黑体" w:cs="Arial"/>
          <w:bCs/>
          <w:color w:val="333333"/>
          <w:spacing w:val="37"/>
          <w:kern w:val="0"/>
          <w:sz w:val="32"/>
          <w:szCs w:val="32"/>
        </w:rPr>
        <w:t>收到和处理政府信息公开申请情况</w:t>
      </w:r>
    </w:p>
    <w:tbl>
      <w:tblPr>
        <w:tblStyle w:val="8"/>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51"/>
        <w:gridCol w:w="1134"/>
        <w:gridCol w:w="850"/>
        <w:gridCol w:w="709"/>
        <w:gridCol w:w="709"/>
        <w:gridCol w:w="992"/>
        <w:gridCol w:w="851"/>
        <w:gridCol w:w="847"/>
        <w:gridCol w:w="1050"/>
      </w:tblGrid>
      <w:tr w14:paraId="1DBE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66" w:type="dxa"/>
            <w:gridSpan w:val="3"/>
            <w:vMerge w:val="restart"/>
            <w:shd w:val="clear" w:color="auto" w:fill="auto"/>
            <w:vAlign w:val="center"/>
          </w:tcPr>
          <w:p w14:paraId="183EBE7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（本列数据的勾稽关系为：第一项加第二项之和，等于第三项加第四项之和）</w:t>
            </w:r>
          </w:p>
        </w:tc>
        <w:tc>
          <w:tcPr>
            <w:tcW w:w="6008" w:type="dxa"/>
            <w:gridSpan w:val="7"/>
            <w:shd w:val="clear" w:color="auto" w:fill="auto"/>
            <w:vAlign w:val="center"/>
          </w:tcPr>
          <w:p w14:paraId="3AAAAFE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申请人情况</w:t>
            </w:r>
          </w:p>
        </w:tc>
      </w:tr>
      <w:tr w14:paraId="1A36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66" w:type="dxa"/>
            <w:gridSpan w:val="3"/>
            <w:vMerge w:val="continue"/>
            <w:vAlign w:val="center"/>
          </w:tcPr>
          <w:p w14:paraId="537976C7">
            <w:pPr>
              <w:widowControl/>
              <w:jc w:val="left"/>
              <w:rPr>
                <w:rFonts w:ascii="宋体" w:hAnsi="宋体" w:eastAsia="宋体" w:cs="宋体"/>
                <w:color w:val="000000"/>
                <w:kern w:val="0"/>
                <w:sz w:val="20"/>
                <w:szCs w:val="20"/>
              </w:rPr>
            </w:pPr>
          </w:p>
        </w:tc>
        <w:tc>
          <w:tcPr>
            <w:tcW w:w="850" w:type="dxa"/>
            <w:vMerge w:val="restart"/>
            <w:shd w:val="clear" w:color="auto" w:fill="auto"/>
            <w:vAlign w:val="center"/>
          </w:tcPr>
          <w:p w14:paraId="68BA2C7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自然人</w:t>
            </w:r>
          </w:p>
        </w:tc>
        <w:tc>
          <w:tcPr>
            <w:tcW w:w="4108" w:type="dxa"/>
            <w:gridSpan w:val="5"/>
            <w:shd w:val="clear" w:color="auto" w:fill="auto"/>
            <w:vAlign w:val="center"/>
          </w:tcPr>
          <w:p w14:paraId="643A3BF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法人或其他组织</w:t>
            </w:r>
          </w:p>
        </w:tc>
        <w:tc>
          <w:tcPr>
            <w:tcW w:w="1050" w:type="dxa"/>
            <w:vMerge w:val="restart"/>
            <w:shd w:val="clear" w:color="auto" w:fill="auto"/>
            <w:vAlign w:val="center"/>
          </w:tcPr>
          <w:p w14:paraId="0A84C1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r>
      <w:tr w14:paraId="13C3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866" w:type="dxa"/>
            <w:gridSpan w:val="3"/>
            <w:vMerge w:val="continue"/>
            <w:vAlign w:val="center"/>
          </w:tcPr>
          <w:p w14:paraId="53AE5E6D">
            <w:pPr>
              <w:widowControl/>
              <w:jc w:val="left"/>
              <w:rPr>
                <w:rFonts w:ascii="宋体" w:hAnsi="宋体" w:eastAsia="宋体" w:cs="宋体"/>
                <w:color w:val="000000"/>
                <w:kern w:val="0"/>
                <w:sz w:val="20"/>
                <w:szCs w:val="20"/>
              </w:rPr>
            </w:pPr>
          </w:p>
        </w:tc>
        <w:tc>
          <w:tcPr>
            <w:tcW w:w="850" w:type="dxa"/>
            <w:vMerge w:val="continue"/>
            <w:vAlign w:val="center"/>
          </w:tcPr>
          <w:p w14:paraId="2FA0FB8A">
            <w:pPr>
              <w:widowControl/>
              <w:jc w:val="left"/>
              <w:rPr>
                <w:rFonts w:ascii="宋体" w:hAnsi="宋体" w:eastAsia="宋体" w:cs="宋体"/>
                <w:color w:val="000000"/>
                <w:kern w:val="0"/>
                <w:sz w:val="20"/>
                <w:szCs w:val="20"/>
              </w:rPr>
            </w:pPr>
          </w:p>
        </w:tc>
        <w:tc>
          <w:tcPr>
            <w:tcW w:w="709" w:type="dxa"/>
            <w:shd w:val="clear" w:color="auto" w:fill="auto"/>
            <w:vAlign w:val="center"/>
          </w:tcPr>
          <w:p w14:paraId="0370255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商业企业</w:t>
            </w:r>
          </w:p>
        </w:tc>
        <w:tc>
          <w:tcPr>
            <w:tcW w:w="709" w:type="dxa"/>
            <w:shd w:val="clear" w:color="auto" w:fill="auto"/>
            <w:vAlign w:val="center"/>
          </w:tcPr>
          <w:p w14:paraId="01AA6BF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科研机构</w:t>
            </w:r>
          </w:p>
        </w:tc>
        <w:tc>
          <w:tcPr>
            <w:tcW w:w="992" w:type="dxa"/>
            <w:shd w:val="clear" w:color="auto" w:fill="auto"/>
            <w:vAlign w:val="center"/>
          </w:tcPr>
          <w:p w14:paraId="46BF66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社会公益组织</w:t>
            </w:r>
          </w:p>
        </w:tc>
        <w:tc>
          <w:tcPr>
            <w:tcW w:w="851" w:type="dxa"/>
            <w:shd w:val="clear" w:color="auto" w:fill="auto"/>
            <w:vAlign w:val="center"/>
          </w:tcPr>
          <w:p w14:paraId="1218F6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法律服务机构</w:t>
            </w:r>
          </w:p>
        </w:tc>
        <w:tc>
          <w:tcPr>
            <w:tcW w:w="847" w:type="dxa"/>
            <w:shd w:val="clear" w:color="auto" w:fill="auto"/>
            <w:vAlign w:val="center"/>
          </w:tcPr>
          <w:p w14:paraId="0EC05AD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tc>
        <w:tc>
          <w:tcPr>
            <w:tcW w:w="1050" w:type="dxa"/>
            <w:vMerge w:val="continue"/>
            <w:vAlign w:val="center"/>
          </w:tcPr>
          <w:p w14:paraId="65AEE06F">
            <w:pPr>
              <w:widowControl/>
              <w:jc w:val="left"/>
              <w:rPr>
                <w:rFonts w:ascii="宋体" w:hAnsi="宋体" w:eastAsia="宋体" w:cs="宋体"/>
                <w:color w:val="000000"/>
                <w:kern w:val="0"/>
                <w:sz w:val="20"/>
                <w:szCs w:val="20"/>
              </w:rPr>
            </w:pPr>
          </w:p>
        </w:tc>
      </w:tr>
      <w:tr w14:paraId="292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66" w:type="dxa"/>
            <w:gridSpan w:val="3"/>
            <w:shd w:val="clear" w:color="auto" w:fill="auto"/>
            <w:vAlign w:val="center"/>
          </w:tcPr>
          <w:p w14:paraId="2737778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一、本年新收政府信息公开申请数量</w:t>
            </w:r>
          </w:p>
        </w:tc>
        <w:tc>
          <w:tcPr>
            <w:tcW w:w="850" w:type="dxa"/>
            <w:shd w:val="clear" w:color="auto" w:fill="auto"/>
            <w:vAlign w:val="center"/>
          </w:tcPr>
          <w:p w14:paraId="77FC7841">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72</w:t>
            </w:r>
          </w:p>
        </w:tc>
        <w:tc>
          <w:tcPr>
            <w:tcW w:w="709" w:type="dxa"/>
            <w:shd w:val="clear" w:color="auto" w:fill="auto"/>
            <w:vAlign w:val="center"/>
          </w:tcPr>
          <w:p w14:paraId="3AA28961">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0F4048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47589AD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1F0D721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5EB5B6E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73AF1F6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72</w:t>
            </w:r>
          </w:p>
        </w:tc>
      </w:tr>
      <w:tr w14:paraId="4C9F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66" w:type="dxa"/>
            <w:gridSpan w:val="3"/>
            <w:shd w:val="clear" w:color="auto" w:fill="auto"/>
            <w:vAlign w:val="center"/>
          </w:tcPr>
          <w:p w14:paraId="6B362DB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二、上年结转政府信息公开申请数量</w:t>
            </w:r>
          </w:p>
        </w:tc>
        <w:tc>
          <w:tcPr>
            <w:tcW w:w="850" w:type="dxa"/>
            <w:shd w:val="clear" w:color="auto" w:fill="auto"/>
            <w:vAlign w:val="center"/>
          </w:tcPr>
          <w:p w14:paraId="18FEA7E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12</w:t>
            </w:r>
          </w:p>
        </w:tc>
        <w:tc>
          <w:tcPr>
            <w:tcW w:w="709" w:type="dxa"/>
            <w:shd w:val="clear" w:color="auto" w:fill="auto"/>
            <w:vAlign w:val="center"/>
          </w:tcPr>
          <w:p w14:paraId="2208AE7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C2CF15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74B3962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028379B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1B625DE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29B6E7F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12</w:t>
            </w:r>
          </w:p>
        </w:tc>
      </w:tr>
      <w:tr w14:paraId="15A6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81" w:type="dxa"/>
            <w:vMerge w:val="restart"/>
            <w:shd w:val="clear" w:color="auto" w:fill="auto"/>
            <w:vAlign w:val="center"/>
          </w:tcPr>
          <w:p w14:paraId="545BC5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三、本年度办理结果</w:t>
            </w:r>
          </w:p>
        </w:tc>
        <w:tc>
          <w:tcPr>
            <w:tcW w:w="1985" w:type="dxa"/>
            <w:gridSpan w:val="2"/>
            <w:shd w:val="clear" w:color="auto" w:fill="auto"/>
            <w:vAlign w:val="center"/>
          </w:tcPr>
          <w:p w14:paraId="437EEC8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（一）予以公开</w:t>
            </w:r>
          </w:p>
        </w:tc>
        <w:tc>
          <w:tcPr>
            <w:tcW w:w="850" w:type="dxa"/>
            <w:shd w:val="clear" w:color="auto" w:fill="auto"/>
            <w:vAlign w:val="center"/>
          </w:tcPr>
          <w:p w14:paraId="14F5F8E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66</w:t>
            </w:r>
          </w:p>
        </w:tc>
        <w:tc>
          <w:tcPr>
            <w:tcW w:w="709" w:type="dxa"/>
            <w:shd w:val="clear" w:color="auto" w:fill="auto"/>
            <w:vAlign w:val="center"/>
          </w:tcPr>
          <w:p w14:paraId="42520D5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7DEFCC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6E921F1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BA3777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776B929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6D630EE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66</w:t>
            </w:r>
          </w:p>
        </w:tc>
      </w:tr>
      <w:tr w14:paraId="0C11A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81" w:type="dxa"/>
            <w:vMerge w:val="continue"/>
            <w:vAlign w:val="center"/>
          </w:tcPr>
          <w:p w14:paraId="5EE073B2">
            <w:pPr>
              <w:widowControl/>
              <w:jc w:val="left"/>
              <w:rPr>
                <w:rFonts w:ascii="宋体" w:hAnsi="宋体" w:eastAsia="宋体" w:cs="宋体"/>
                <w:color w:val="000000"/>
                <w:kern w:val="0"/>
                <w:sz w:val="20"/>
                <w:szCs w:val="20"/>
              </w:rPr>
            </w:pPr>
          </w:p>
        </w:tc>
        <w:tc>
          <w:tcPr>
            <w:tcW w:w="1985" w:type="dxa"/>
            <w:gridSpan w:val="2"/>
            <w:shd w:val="clear" w:color="auto" w:fill="auto"/>
            <w:vAlign w:val="center"/>
          </w:tcPr>
          <w:p w14:paraId="23DAA6F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（二）部分公开（区分处理的，只计这一情形，不计其他情形）</w:t>
            </w:r>
          </w:p>
        </w:tc>
        <w:tc>
          <w:tcPr>
            <w:tcW w:w="850" w:type="dxa"/>
            <w:shd w:val="clear" w:color="auto" w:fill="auto"/>
            <w:vAlign w:val="center"/>
          </w:tcPr>
          <w:p w14:paraId="5D32280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1E6E35B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C209E7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44492D0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74410B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75A6B16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34E02F2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2184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21F3BEA">
            <w:pPr>
              <w:widowControl/>
              <w:jc w:val="left"/>
              <w:rPr>
                <w:rFonts w:ascii="宋体" w:hAnsi="宋体" w:eastAsia="宋体" w:cs="宋体"/>
                <w:color w:val="000000"/>
                <w:kern w:val="0"/>
                <w:sz w:val="20"/>
                <w:szCs w:val="20"/>
              </w:rPr>
            </w:pPr>
          </w:p>
        </w:tc>
        <w:tc>
          <w:tcPr>
            <w:tcW w:w="851" w:type="dxa"/>
            <w:vMerge w:val="restart"/>
            <w:shd w:val="clear" w:color="auto" w:fill="auto"/>
            <w:vAlign w:val="center"/>
          </w:tcPr>
          <w:p w14:paraId="5E59A5C7">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（三）不予公开</w:t>
            </w:r>
          </w:p>
        </w:tc>
        <w:tc>
          <w:tcPr>
            <w:tcW w:w="1134" w:type="dxa"/>
            <w:shd w:val="clear" w:color="auto" w:fill="auto"/>
            <w:vAlign w:val="center"/>
          </w:tcPr>
          <w:p w14:paraId="4A8A4EC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1.属于国家秘密</w:t>
            </w:r>
          </w:p>
        </w:tc>
        <w:tc>
          <w:tcPr>
            <w:tcW w:w="850" w:type="dxa"/>
            <w:shd w:val="clear" w:color="auto" w:fill="auto"/>
            <w:vAlign w:val="center"/>
          </w:tcPr>
          <w:p w14:paraId="2135E27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F1FA49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36D8C74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0CCD210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162159D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52F6319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0B7E7C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475B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5287A55D">
            <w:pPr>
              <w:widowControl/>
              <w:jc w:val="left"/>
              <w:rPr>
                <w:rFonts w:ascii="宋体" w:hAnsi="宋体" w:eastAsia="宋体" w:cs="宋体"/>
                <w:color w:val="000000"/>
                <w:kern w:val="0"/>
                <w:sz w:val="20"/>
                <w:szCs w:val="20"/>
              </w:rPr>
            </w:pPr>
          </w:p>
        </w:tc>
        <w:tc>
          <w:tcPr>
            <w:tcW w:w="851" w:type="dxa"/>
            <w:vMerge w:val="continue"/>
            <w:vAlign w:val="center"/>
          </w:tcPr>
          <w:p w14:paraId="789DC15A">
            <w:pPr>
              <w:widowControl/>
              <w:jc w:val="left"/>
              <w:rPr>
                <w:rFonts w:cs="宋体" w:asciiTheme="minorEastAsia" w:hAnsiTheme="minorEastAsia"/>
                <w:color w:val="000000"/>
                <w:kern w:val="0"/>
                <w:sz w:val="20"/>
                <w:szCs w:val="20"/>
              </w:rPr>
            </w:pPr>
          </w:p>
        </w:tc>
        <w:tc>
          <w:tcPr>
            <w:tcW w:w="1134" w:type="dxa"/>
            <w:shd w:val="clear" w:color="auto" w:fill="auto"/>
            <w:vAlign w:val="center"/>
          </w:tcPr>
          <w:p w14:paraId="2EC1D95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2.其他法律行政法规禁止公开</w:t>
            </w:r>
          </w:p>
        </w:tc>
        <w:tc>
          <w:tcPr>
            <w:tcW w:w="850" w:type="dxa"/>
            <w:shd w:val="clear" w:color="auto" w:fill="auto"/>
            <w:vAlign w:val="center"/>
          </w:tcPr>
          <w:p w14:paraId="010BD2F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4D5805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0BFAA56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45B7258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2974349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0E2ED5E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C63EFE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44BA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3F255CC">
            <w:pPr>
              <w:widowControl/>
              <w:jc w:val="left"/>
              <w:rPr>
                <w:rFonts w:ascii="宋体" w:hAnsi="宋体" w:eastAsia="宋体" w:cs="宋体"/>
                <w:color w:val="000000"/>
                <w:kern w:val="0"/>
                <w:sz w:val="20"/>
                <w:szCs w:val="20"/>
              </w:rPr>
            </w:pPr>
          </w:p>
        </w:tc>
        <w:tc>
          <w:tcPr>
            <w:tcW w:w="851" w:type="dxa"/>
            <w:vMerge w:val="continue"/>
            <w:vAlign w:val="center"/>
          </w:tcPr>
          <w:p w14:paraId="7D5DF2A1">
            <w:pPr>
              <w:widowControl/>
              <w:jc w:val="left"/>
              <w:rPr>
                <w:rFonts w:cs="宋体" w:asciiTheme="minorEastAsia" w:hAnsiTheme="minorEastAsia"/>
                <w:color w:val="000000"/>
                <w:kern w:val="0"/>
                <w:sz w:val="20"/>
                <w:szCs w:val="20"/>
              </w:rPr>
            </w:pPr>
          </w:p>
        </w:tc>
        <w:tc>
          <w:tcPr>
            <w:tcW w:w="1134" w:type="dxa"/>
            <w:shd w:val="clear" w:color="auto" w:fill="auto"/>
            <w:vAlign w:val="center"/>
          </w:tcPr>
          <w:p w14:paraId="6A2C0A8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3.危及“三安全一稳定”</w:t>
            </w:r>
          </w:p>
        </w:tc>
        <w:tc>
          <w:tcPr>
            <w:tcW w:w="850" w:type="dxa"/>
            <w:shd w:val="clear" w:color="auto" w:fill="auto"/>
            <w:vAlign w:val="center"/>
          </w:tcPr>
          <w:p w14:paraId="07BADD2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30CFBF0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9EFE3A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6F6A800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9D7A9E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1AD50F7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389B3FD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2A7D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40B1E2F6">
            <w:pPr>
              <w:widowControl/>
              <w:jc w:val="left"/>
              <w:rPr>
                <w:rFonts w:ascii="宋体" w:hAnsi="宋体" w:eastAsia="宋体" w:cs="宋体"/>
                <w:color w:val="000000"/>
                <w:kern w:val="0"/>
                <w:sz w:val="20"/>
                <w:szCs w:val="20"/>
              </w:rPr>
            </w:pPr>
          </w:p>
        </w:tc>
        <w:tc>
          <w:tcPr>
            <w:tcW w:w="851" w:type="dxa"/>
            <w:vMerge w:val="continue"/>
            <w:vAlign w:val="center"/>
          </w:tcPr>
          <w:p w14:paraId="0B0A432B">
            <w:pPr>
              <w:widowControl/>
              <w:jc w:val="left"/>
              <w:rPr>
                <w:rFonts w:cs="宋体" w:asciiTheme="minorEastAsia" w:hAnsiTheme="minorEastAsia"/>
                <w:color w:val="000000"/>
                <w:kern w:val="0"/>
                <w:sz w:val="20"/>
                <w:szCs w:val="20"/>
              </w:rPr>
            </w:pPr>
          </w:p>
        </w:tc>
        <w:tc>
          <w:tcPr>
            <w:tcW w:w="1134" w:type="dxa"/>
            <w:shd w:val="clear" w:color="auto" w:fill="auto"/>
            <w:vAlign w:val="center"/>
          </w:tcPr>
          <w:p w14:paraId="1EE195D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4.保护第三方合法权益</w:t>
            </w:r>
          </w:p>
        </w:tc>
        <w:tc>
          <w:tcPr>
            <w:tcW w:w="850" w:type="dxa"/>
            <w:shd w:val="clear" w:color="auto" w:fill="auto"/>
            <w:vAlign w:val="center"/>
          </w:tcPr>
          <w:p w14:paraId="4E6E88D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0B85989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0D17F64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0A47C48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75F5508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57AEFEF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3E1F27F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544A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5A1518AA">
            <w:pPr>
              <w:widowControl/>
              <w:jc w:val="left"/>
              <w:rPr>
                <w:rFonts w:ascii="宋体" w:hAnsi="宋体" w:eastAsia="宋体" w:cs="宋体"/>
                <w:color w:val="000000"/>
                <w:kern w:val="0"/>
                <w:sz w:val="20"/>
                <w:szCs w:val="20"/>
              </w:rPr>
            </w:pPr>
          </w:p>
        </w:tc>
        <w:tc>
          <w:tcPr>
            <w:tcW w:w="851" w:type="dxa"/>
            <w:vMerge w:val="continue"/>
            <w:vAlign w:val="center"/>
          </w:tcPr>
          <w:p w14:paraId="57FF6C87">
            <w:pPr>
              <w:widowControl/>
              <w:jc w:val="left"/>
              <w:rPr>
                <w:rFonts w:cs="宋体" w:asciiTheme="minorEastAsia" w:hAnsiTheme="minorEastAsia"/>
                <w:color w:val="000000"/>
                <w:kern w:val="0"/>
                <w:sz w:val="20"/>
                <w:szCs w:val="20"/>
              </w:rPr>
            </w:pPr>
          </w:p>
        </w:tc>
        <w:tc>
          <w:tcPr>
            <w:tcW w:w="1134" w:type="dxa"/>
            <w:tcBorders>
              <w:bottom w:val="single" w:color="auto" w:sz="4" w:space="0"/>
            </w:tcBorders>
            <w:shd w:val="clear" w:color="auto" w:fill="auto"/>
            <w:vAlign w:val="center"/>
          </w:tcPr>
          <w:p w14:paraId="1EBBF5B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5.属于三类内部事务信息</w:t>
            </w:r>
          </w:p>
        </w:tc>
        <w:tc>
          <w:tcPr>
            <w:tcW w:w="850" w:type="dxa"/>
            <w:shd w:val="clear" w:color="auto" w:fill="auto"/>
            <w:vAlign w:val="center"/>
          </w:tcPr>
          <w:p w14:paraId="2083E071">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113BEE4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DC6BE6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4DE4EBE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31E0BBC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5ADFC5B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3E1271F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3CCE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54D37D12">
            <w:pPr>
              <w:widowControl/>
              <w:jc w:val="left"/>
              <w:rPr>
                <w:rFonts w:ascii="宋体" w:hAnsi="宋体" w:eastAsia="宋体" w:cs="宋体"/>
                <w:color w:val="000000"/>
                <w:kern w:val="0"/>
                <w:sz w:val="20"/>
                <w:szCs w:val="20"/>
              </w:rPr>
            </w:pPr>
          </w:p>
        </w:tc>
        <w:tc>
          <w:tcPr>
            <w:tcW w:w="851" w:type="dxa"/>
            <w:vMerge w:val="continue"/>
            <w:vAlign w:val="center"/>
          </w:tcPr>
          <w:p w14:paraId="66368721">
            <w:pPr>
              <w:widowControl/>
              <w:jc w:val="left"/>
              <w:rPr>
                <w:rFonts w:ascii="楷体" w:hAnsi="楷体" w:eastAsia="楷体" w:cs="宋体"/>
                <w:color w:val="000000"/>
                <w:kern w:val="0"/>
                <w:sz w:val="20"/>
                <w:szCs w:val="20"/>
              </w:rPr>
            </w:pPr>
          </w:p>
        </w:tc>
        <w:tc>
          <w:tcPr>
            <w:tcW w:w="1134" w:type="dxa"/>
            <w:shd w:val="clear" w:color="auto" w:fill="auto"/>
            <w:vAlign w:val="center"/>
          </w:tcPr>
          <w:p w14:paraId="5EEA71A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6.属于四类过程性信息</w:t>
            </w:r>
          </w:p>
        </w:tc>
        <w:tc>
          <w:tcPr>
            <w:tcW w:w="850" w:type="dxa"/>
            <w:shd w:val="clear" w:color="auto" w:fill="auto"/>
            <w:vAlign w:val="center"/>
          </w:tcPr>
          <w:p w14:paraId="3E9941A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AEB75B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EC2944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741B80C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0554E40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7CA53CD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18E87E8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300D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4BDF572">
            <w:pPr>
              <w:widowControl/>
              <w:jc w:val="left"/>
              <w:rPr>
                <w:rFonts w:ascii="宋体" w:hAnsi="宋体" w:eastAsia="宋体" w:cs="宋体"/>
                <w:color w:val="000000"/>
                <w:kern w:val="0"/>
                <w:sz w:val="20"/>
                <w:szCs w:val="20"/>
              </w:rPr>
            </w:pPr>
          </w:p>
        </w:tc>
        <w:tc>
          <w:tcPr>
            <w:tcW w:w="851" w:type="dxa"/>
            <w:vMerge w:val="continue"/>
            <w:vAlign w:val="center"/>
          </w:tcPr>
          <w:p w14:paraId="5129EB90">
            <w:pPr>
              <w:widowControl/>
              <w:jc w:val="left"/>
              <w:rPr>
                <w:rFonts w:ascii="楷体" w:hAnsi="楷体" w:eastAsia="楷体" w:cs="宋体"/>
                <w:color w:val="000000"/>
                <w:kern w:val="0"/>
                <w:sz w:val="20"/>
                <w:szCs w:val="20"/>
              </w:rPr>
            </w:pPr>
          </w:p>
        </w:tc>
        <w:tc>
          <w:tcPr>
            <w:tcW w:w="1134" w:type="dxa"/>
            <w:shd w:val="clear" w:color="auto" w:fill="auto"/>
            <w:vAlign w:val="center"/>
          </w:tcPr>
          <w:p w14:paraId="7A7EFBE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7.属于行政执法案卷</w:t>
            </w:r>
          </w:p>
        </w:tc>
        <w:tc>
          <w:tcPr>
            <w:tcW w:w="850" w:type="dxa"/>
            <w:shd w:val="clear" w:color="auto" w:fill="auto"/>
            <w:vAlign w:val="center"/>
          </w:tcPr>
          <w:p w14:paraId="47D5100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6CDB8B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AAFE64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372EE60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5CCF6A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088FC76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20756D4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3A6C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71237D29">
            <w:pPr>
              <w:widowControl/>
              <w:jc w:val="left"/>
              <w:rPr>
                <w:rFonts w:ascii="宋体" w:hAnsi="宋体" w:eastAsia="宋体" w:cs="宋体"/>
                <w:color w:val="000000"/>
                <w:kern w:val="0"/>
                <w:sz w:val="20"/>
                <w:szCs w:val="20"/>
              </w:rPr>
            </w:pPr>
          </w:p>
        </w:tc>
        <w:tc>
          <w:tcPr>
            <w:tcW w:w="851" w:type="dxa"/>
            <w:vMerge w:val="continue"/>
            <w:vAlign w:val="center"/>
          </w:tcPr>
          <w:p w14:paraId="3EF285F0">
            <w:pPr>
              <w:widowControl/>
              <w:jc w:val="left"/>
              <w:rPr>
                <w:rFonts w:ascii="楷体" w:hAnsi="楷体" w:eastAsia="楷体" w:cs="宋体"/>
                <w:color w:val="000000"/>
                <w:kern w:val="0"/>
                <w:sz w:val="20"/>
                <w:szCs w:val="20"/>
              </w:rPr>
            </w:pPr>
          </w:p>
        </w:tc>
        <w:tc>
          <w:tcPr>
            <w:tcW w:w="1134" w:type="dxa"/>
            <w:shd w:val="clear" w:color="auto" w:fill="auto"/>
            <w:vAlign w:val="center"/>
          </w:tcPr>
          <w:p w14:paraId="1CED573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8.属于行政查询事项</w:t>
            </w:r>
          </w:p>
        </w:tc>
        <w:tc>
          <w:tcPr>
            <w:tcW w:w="850" w:type="dxa"/>
            <w:shd w:val="clear" w:color="auto" w:fill="auto"/>
            <w:vAlign w:val="center"/>
          </w:tcPr>
          <w:p w14:paraId="62101FB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2EC64D5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3CA2F4C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280B6AA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7CCA686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2F5BF01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749C1F7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0F39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188EF5AD">
            <w:pPr>
              <w:widowControl/>
              <w:jc w:val="left"/>
              <w:rPr>
                <w:rFonts w:ascii="宋体" w:hAnsi="宋体" w:eastAsia="宋体" w:cs="宋体"/>
                <w:color w:val="000000"/>
                <w:kern w:val="0"/>
                <w:sz w:val="20"/>
                <w:szCs w:val="20"/>
              </w:rPr>
            </w:pPr>
          </w:p>
        </w:tc>
        <w:tc>
          <w:tcPr>
            <w:tcW w:w="851" w:type="dxa"/>
            <w:vMerge w:val="restart"/>
            <w:shd w:val="clear" w:color="auto" w:fill="auto"/>
            <w:vAlign w:val="center"/>
          </w:tcPr>
          <w:p w14:paraId="42669613">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（四）无法提供</w:t>
            </w:r>
          </w:p>
        </w:tc>
        <w:tc>
          <w:tcPr>
            <w:tcW w:w="1134" w:type="dxa"/>
            <w:shd w:val="clear" w:color="auto" w:fill="auto"/>
            <w:vAlign w:val="center"/>
          </w:tcPr>
          <w:p w14:paraId="0B2F0EF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1.本机关不掌握相关政府信息</w:t>
            </w:r>
          </w:p>
        </w:tc>
        <w:tc>
          <w:tcPr>
            <w:tcW w:w="850" w:type="dxa"/>
            <w:shd w:val="clear" w:color="auto" w:fill="auto"/>
            <w:vAlign w:val="center"/>
          </w:tcPr>
          <w:p w14:paraId="2328814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16</w:t>
            </w:r>
          </w:p>
        </w:tc>
        <w:tc>
          <w:tcPr>
            <w:tcW w:w="709" w:type="dxa"/>
            <w:shd w:val="clear" w:color="auto" w:fill="auto"/>
            <w:vAlign w:val="center"/>
          </w:tcPr>
          <w:p w14:paraId="003D7CE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8DBF78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63034E1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7D2B64A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54A60D6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640C28C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16</w:t>
            </w:r>
          </w:p>
        </w:tc>
      </w:tr>
      <w:tr w14:paraId="732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789248F5">
            <w:pPr>
              <w:widowControl/>
              <w:jc w:val="left"/>
              <w:rPr>
                <w:rFonts w:ascii="宋体" w:hAnsi="宋体" w:eastAsia="宋体" w:cs="宋体"/>
                <w:color w:val="000000"/>
                <w:kern w:val="0"/>
                <w:sz w:val="20"/>
                <w:szCs w:val="20"/>
              </w:rPr>
            </w:pPr>
          </w:p>
        </w:tc>
        <w:tc>
          <w:tcPr>
            <w:tcW w:w="851" w:type="dxa"/>
            <w:vMerge w:val="continue"/>
            <w:vAlign w:val="center"/>
          </w:tcPr>
          <w:p w14:paraId="694F3C7E">
            <w:pPr>
              <w:widowControl/>
              <w:jc w:val="left"/>
              <w:rPr>
                <w:rFonts w:ascii="楷体" w:hAnsi="楷体" w:eastAsia="楷体" w:cs="宋体"/>
                <w:color w:val="000000"/>
                <w:kern w:val="0"/>
                <w:sz w:val="20"/>
                <w:szCs w:val="20"/>
              </w:rPr>
            </w:pPr>
          </w:p>
        </w:tc>
        <w:tc>
          <w:tcPr>
            <w:tcW w:w="1134" w:type="dxa"/>
            <w:shd w:val="clear" w:color="auto" w:fill="auto"/>
            <w:vAlign w:val="center"/>
          </w:tcPr>
          <w:p w14:paraId="2716A6B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2.没有现成信息需要另行制作</w:t>
            </w:r>
          </w:p>
        </w:tc>
        <w:tc>
          <w:tcPr>
            <w:tcW w:w="850" w:type="dxa"/>
            <w:shd w:val="clear" w:color="auto" w:fill="auto"/>
            <w:vAlign w:val="center"/>
          </w:tcPr>
          <w:p w14:paraId="2DFDA2D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0DBCCD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514CE33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1218FD71">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75ED13F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2892C0A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0951173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33B2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481AA50">
            <w:pPr>
              <w:widowControl/>
              <w:jc w:val="left"/>
              <w:rPr>
                <w:rFonts w:ascii="宋体" w:hAnsi="宋体" w:eastAsia="宋体" w:cs="宋体"/>
                <w:color w:val="000000"/>
                <w:kern w:val="0"/>
                <w:sz w:val="20"/>
                <w:szCs w:val="20"/>
              </w:rPr>
            </w:pPr>
          </w:p>
        </w:tc>
        <w:tc>
          <w:tcPr>
            <w:tcW w:w="851" w:type="dxa"/>
            <w:vMerge w:val="continue"/>
            <w:vAlign w:val="center"/>
          </w:tcPr>
          <w:p w14:paraId="6D158EC5">
            <w:pPr>
              <w:widowControl/>
              <w:jc w:val="left"/>
              <w:rPr>
                <w:rFonts w:ascii="楷体" w:hAnsi="楷体" w:eastAsia="楷体" w:cs="宋体"/>
                <w:color w:val="000000"/>
                <w:kern w:val="0"/>
                <w:sz w:val="20"/>
                <w:szCs w:val="20"/>
              </w:rPr>
            </w:pPr>
          </w:p>
        </w:tc>
        <w:tc>
          <w:tcPr>
            <w:tcW w:w="1134" w:type="dxa"/>
            <w:shd w:val="clear" w:color="auto" w:fill="auto"/>
            <w:vAlign w:val="center"/>
          </w:tcPr>
          <w:p w14:paraId="49D6EDD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3.补正后申请内容仍不明确</w:t>
            </w:r>
          </w:p>
        </w:tc>
        <w:tc>
          <w:tcPr>
            <w:tcW w:w="850" w:type="dxa"/>
            <w:shd w:val="clear" w:color="auto" w:fill="auto"/>
            <w:vAlign w:val="center"/>
          </w:tcPr>
          <w:p w14:paraId="78A1603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C7DA26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731A877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4B4FF61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21D0A93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4614FEB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BE35B7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144A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362BCDB6">
            <w:pPr>
              <w:widowControl/>
              <w:jc w:val="left"/>
              <w:rPr>
                <w:rFonts w:ascii="宋体" w:hAnsi="宋体" w:eastAsia="宋体" w:cs="宋体"/>
                <w:color w:val="000000"/>
                <w:kern w:val="0"/>
                <w:sz w:val="20"/>
                <w:szCs w:val="20"/>
              </w:rPr>
            </w:pPr>
          </w:p>
        </w:tc>
        <w:tc>
          <w:tcPr>
            <w:tcW w:w="851" w:type="dxa"/>
            <w:vMerge w:val="restart"/>
            <w:shd w:val="clear" w:color="auto" w:fill="auto"/>
            <w:vAlign w:val="center"/>
          </w:tcPr>
          <w:p w14:paraId="3C65A738">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（五）不予处理</w:t>
            </w:r>
          </w:p>
        </w:tc>
        <w:tc>
          <w:tcPr>
            <w:tcW w:w="1134" w:type="dxa"/>
            <w:shd w:val="clear" w:color="auto" w:fill="auto"/>
            <w:vAlign w:val="center"/>
          </w:tcPr>
          <w:p w14:paraId="0D3EDDB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1.信访举报投诉类申请</w:t>
            </w:r>
          </w:p>
        </w:tc>
        <w:tc>
          <w:tcPr>
            <w:tcW w:w="850" w:type="dxa"/>
            <w:shd w:val="clear" w:color="auto" w:fill="auto"/>
            <w:vAlign w:val="center"/>
          </w:tcPr>
          <w:p w14:paraId="18FB134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w:t>
            </w:r>
          </w:p>
        </w:tc>
        <w:tc>
          <w:tcPr>
            <w:tcW w:w="709" w:type="dxa"/>
            <w:shd w:val="clear" w:color="auto" w:fill="auto"/>
            <w:vAlign w:val="center"/>
          </w:tcPr>
          <w:p w14:paraId="022181B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3798F4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7100347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4099A40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4795F85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CB2AFC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w:t>
            </w:r>
          </w:p>
        </w:tc>
      </w:tr>
      <w:tr w14:paraId="48CA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5C1E5F75">
            <w:pPr>
              <w:widowControl/>
              <w:jc w:val="left"/>
              <w:rPr>
                <w:rFonts w:ascii="宋体" w:hAnsi="宋体" w:eastAsia="宋体" w:cs="宋体"/>
                <w:color w:val="000000"/>
                <w:kern w:val="0"/>
                <w:sz w:val="20"/>
                <w:szCs w:val="20"/>
              </w:rPr>
            </w:pPr>
          </w:p>
        </w:tc>
        <w:tc>
          <w:tcPr>
            <w:tcW w:w="851" w:type="dxa"/>
            <w:vMerge w:val="continue"/>
            <w:vAlign w:val="center"/>
          </w:tcPr>
          <w:p w14:paraId="74E6B72B">
            <w:pPr>
              <w:widowControl/>
              <w:jc w:val="left"/>
              <w:rPr>
                <w:rFonts w:ascii="楷体" w:hAnsi="楷体" w:eastAsia="楷体" w:cs="宋体"/>
                <w:color w:val="000000"/>
                <w:kern w:val="0"/>
                <w:sz w:val="20"/>
                <w:szCs w:val="20"/>
              </w:rPr>
            </w:pPr>
          </w:p>
        </w:tc>
        <w:tc>
          <w:tcPr>
            <w:tcW w:w="1134" w:type="dxa"/>
            <w:shd w:val="clear" w:color="auto" w:fill="auto"/>
            <w:vAlign w:val="center"/>
          </w:tcPr>
          <w:p w14:paraId="0A98600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2.重复申请</w:t>
            </w:r>
          </w:p>
        </w:tc>
        <w:tc>
          <w:tcPr>
            <w:tcW w:w="850" w:type="dxa"/>
            <w:shd w:val="clear" w:color="auto" w:fill="auto"/>
            <w:vAlign w:val="center"/>
          </w:tcPr>
          <w:p w14:paraId="141CC57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2BC098C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AB38A1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27C5656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4BE6700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716AC92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6289328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45A9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5CE8BC3">
            <w:pPr>
              <w:widowControl/>
              <w:jc w:val="left"/>
              <w:rPr>
                <w:rFonts w:ascii="宋体" w:hAnsi="宋体" w:eastAsia="宋体" w:cs="宋体"/>
                <w:color w:val="000000"/>
                <w:kern w:val="0"/>
                <w:sz w:val="20"/>
                <w:szCs w:val="20"/>
              </w:rPr>
            </w:pPr>
          </w:p>
        </w:tc>
        <w:tc>
          <w:tcPr>
            <w:tcW w:w="851" w:type="dxa"/>
            <w:vMerge w:val="continue"/>
            <w:vAlign w:val="center"/>
          </w:tcPr>
          <w:p w14:paraId="38ADE095">
            <w:pPr>
              <w:widowControl/>
              <w:jc w:val="left"/>
              <w:rPr>
                <w:rFonts w:ascii="楷体" w:hAnsi="楷体" w:eastAsia="楷体" w:cs="宋体"/>
                <w:color w:val="000000"/>
                <w:kern w:val="0"/>
                <w:sz w:val="20"/>
                <w:szCs w:val="20"/>
              </w:rPr>
            </w:pPr>
          </w:p>
        </w:tc>
        <w:tc>
          <w:tcPr>
            <w:tcW w:w="1134" w:type="dxa"/>
            <w:shd w:val="clear" w:color="auto" w:fill="auto"/>
            <w:vAlign w:val="center"/>
          </w:tcPr>
          <w:p w14:paraId="49E1A85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3.要求提供公开出版物</w:t>
            </w:r>
          </w:p>
        </w:tc>
        <w:tc>
          <w:tcPr>
            <w:tcW w:w="850" w:type="dxa"/>
            <w:shd w:val="clear" w:color="auto" w:fill="auto"/>
            <w:vAlign w:val="center"/>
          </w:tcPr>
          <w:p w14:paraId="29CE2C9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0F7DDD3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7E55BAC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21E9CCF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21A06EC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444CA2A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189EB086">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6982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703605C4">
            <w:pPr>
              <w:widowControl/>
              <w:jc w:val="left"/>
              <w:rPr>
                <w:rFonts w:ascii="宋体" w:hAnsi="宋体" w:eastAsia="宋体" w:cs="宋体"/>
                <w:color w:val="000000"/>
                <w:kern w:val="0"/>
                <w:sz w:val="20"/>
                <w:szCs w:val="20"/>
              </w:rPr>
            </w:pPr>
          </w:p>
        </w:tc>
        <w:tc>
          <w:tcPr>
            <w:tcW w:w="851" w:type="dxa"/>
            <w:vMerge w:val="continue"/>
            <w:vAlign w:val="center"/>
          </w:tcPr>
          <w:p w14:paraId="3B6FD579">
            <w:pPr>
              <w:widowControl/>
              <w:jc w:val="left"/>
              <w:rPr>
                <w:rFonts w:ascii="楷体" w:hAnsi="楷体" w:eastAsia="楷体" w:cs="宋体"/>
                <w:color w:val="000000"/>
                <w:kern w:val="0"/>
                <w:sz w:val="20"/>
                <w:szCs w:val="20"/>
              </w:rPr>
            </w:pPr>
          </w:p>
        </w:tc>
        <w:tc>
          <w:tcPr>
            <w:tcW w:w="1134" w:type="dxa"/>
            <w:shd w:val="clear" w:color="auto" w:fill="auto"/>
            <w:vAlign w:val="center"/>
          </w:tcPr>
          <w:p w14:paraId="20F476C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4.无正当理由大量反复申请</w:t>
            </w:r>
          </w:p>
        </w:tc>
        <w:tc>
          <w:tcPr>
            <w:tcW w:w="850" w:type="dxa"/>
            <w:shd w:val="clear" w:color="auto" w:fill="auto"/>
            <w:vAlign w:val="center"/>
          </w:tcPr>
          <w:p w14:paraId="583785E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0D0EC75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3BC42B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0BB44B8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4C13A75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2B6C3E4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50C99C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2192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81" w:type="dxa"/>
            <w:vMerge w:val="continue"/>
            <w:vAlign w:val="center"/>
          </w:tcPr>
          <w:p w14:paraId="74078283">
            <w:pPr>
              <w:widowControl/>
              <w:jc w:val="left"/>
              <w:rPr>
                <w:rFonts w:ascii="宋体" w:hAnsi="宋体" w:eastAsia="宋体" w:cs="宋体"/>
                <w:color w:val="000000"/>
                <w:kern w:val="0"/>
                <w:sz w:val="20"/>
                <w:szCs w:val="20"/>
              </w:rPr>
            </w:pPr>
          </w:p>
        </w:tc>
        <w:tc>
          <w:tcPr>
            <w:tcW w:w="851" w:type="dxa"/>
            <w:vMerge w:val="continue"/>
            <w:vAlign w:val="center"/>
          </w:tcPr>
          <w:p w14:paraId="32576CEB">
            <w:pPr>
              <w:widowControl/>
              <w:jc w:val="left"/>
              <w:rPr>
                <w:rFonts w:ascii="楷体" w:hAnsi="楷体" w:eastAsia="楷体" w:cs="宋体"/>
                <w:color w:val="000000"/>
                <w:kern w:val="0"/>
                <w:sz w:val="20"/>
                <w:szCs w:val="20"/>
              </w:rPr>
            </w:pPr>
          </w:p>
        </w:tc>
        <w:tc>
          <w:tcPr>
            <w:tcW w:w="1134" w:type="dxa"/>
            <w:shd w:val="clear" w:color="auto" w:fill="auto"/>
            <w:vAlign w:val="center"/>
          </w:tcPr>
          <w:p w14:paraId="1AA6316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5.要求行政机关确认或重新出具已获取信息</w:t>
            </w:r>
          </w:p>
        </w:tc>
        <w:tc>
          <w:tcPr>
            <w:tcW w:w="850" w:type="dxa"/>
            <w:shd w:val="clear" w:color="auto" w:fill="auto"/>
            <w:vAlign w:val="center"/>
          </w:tcPr>
          <w:p w14:paraId="1E81A96C">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2D9D2F7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1E70AB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66D9250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22E01CE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42C6120D">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48608B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14:paraId="12B1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70282E9D">
            <w:pPr>
              <w:widowControl/>
              <w:jc w:val="left"/>
              <w:rPr>
                <w:rFonts w:ascii="宋体" w:hAnsi="宋体" w:eastAsia="宋体" w:cs="宋体"/>
                <w:color w:val="000000"/>
                <w:kern w:val="0"/>
                <w:sz w:val="20"/>
                <w:szCs w:val="20"/>
              </w:rPr>
            </w:pPr>
          </w:p>
        </w:tc>
        <w:tc>
          <w:tcPr>
            <w:tcW w:w="1985" w:type="dxa"/>
            <w:gridSpan w:val="2"/>
            <w:shd w:val="clear" w:color="auto" w:fill="auto"/>
            <w:vAlign w:val="center"/>
          </w:tcPr>
          <w:p w14:paraId="4F50442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（六）其他处理</w:t>
            </w:r>
          </w:p>
        </w:tc>
        <w:tc>
          <w:tcPr>
            <w:tcW w:w="850" w:type="dxa"/>
            <w:shd w:val="clear" w:color="auto" w:fill="auto"/>
            <w:vAlign w:val="center"/>
          </w:tcPr>
          <w:p w14:paraId="128D7E6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w:t>
            </w:r>
          </w:p>
        </w:tc>
        <w:tc>
          <w:tcPr>
            <w:tcW w:w="709" w:type="dxa"/>
            <w:shd w:val="clear" w:color="auto" w:fill="auto"/>
            <w:vAlign w:val="center"/>
          </w:tcPr>
          <w:p w14:paraId="23EEB920">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7ACAF1DA">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0CEADBC4">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37B174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12C511E9">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511A933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1</w:t>
            </w:r>
          </w:p>
        </w:tc>
      </w:tr>
      <w:tr w14:paraId="556D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81" w:type="dxa"/>
            <w:vMerge w:val="continue"/>
            <w:vAlign w:val="center"/>
          </w:tcPr>
          <w:p w14:paraId="0F961536">
            <w:pPr>
              <w:widowControl/>
              <w:jc w:val="left"/>
              <w:rPr>
                <w:rFonts w:ascii="宋体" w:hAnsi="宋体" w:eastAsia="宋体" w:cs="宋体"/>
                <w:color w:val="000000"/>
                <w:kern w:val="0"/>
                <w:sz w:val="20"/>
                <w:szCs w:val="20"/>
              </w:rPr>
            </w:pPr>
          </w:p>
        </w:tc>
        <w:tc>
          <w:tcPr>
            <w:tcW w:w="1985" w:type="dxa"/>
            <w:gridSpan w:val="2"/>
            <w:shd w:val="clear" w:color="auto" w:fill="auto"/>
            <w:vAlign w:val="center"/>
          </w:tcPr>
          <w:p w14:paraId="26BA246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（七）总计</w:t>
            </w:r>
          </w:p>
        </w:tc>
        <w:tc>
          <w:tcPr>
            <w:tcW w:w="850" w:type="dxa"/>
            <w:shd w:val="clear" w:color="auto" w:fill="auto"/>
            <w:vAlign w:val="center"/>
          </w:tcPr>
          <w:p w14:paraId="235B32B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84</w:t>
            </w:r>
          </w:p>
        </w:tc>
        <w:tc>
          <w:tcPr>
            <w:tcW w:w="709" w:type="dxa"/>
            <w:shd w:val="clear" w:color="auto" w:fill="auto"/>
            <w:vAlign w:val="center"/>
          </w:tcPr>
          <w:p w14:paraId="0ACE27E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747006FB">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7BB5AD0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5856F35F">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16296D33">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23A9E8A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84</w:t>
            </w:r>
          </w:p>
        </w:tc>
      </w:tr>
      <w:tr w14:paraId="29A8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66" w:type="dxa"/>
            <w:gridSpan w:val="3"/>
            <w:shd w:val="clear" w:color="auto" w:fill="auto"/>
            <w:vAlign w:val="center"/>
          </w:tcPr>
          <w:p w14:paraId="0D8D73B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四、结转下年度继续办理</w:t>
            </w:r>
          </w:p>
        </w:tc>
        <w:tc>
          <w:tcPr>
            <w:tcW w:w="850" w:type="dxa"/>
            <w:shd w:val="clear" w:color="auto" w:fill="auto"/>
            <w:vAlign w:val="center"/>
          </w:tcPr>
          <w:p w14:paraId="106482F8">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6C2C004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shd w:val="clear" w:color="auto" w:fill="auto"/>
            <w:vAlign w:val="center"/>
          </w:tcPr>
          <w:p w14:paraId="4176C542">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shd w:val="clear" w:color="auto" w:fill="auto"/>
            <w:vAlign w:val="center"/>
          </w:tcPr>
          <w:p w14:paraId="5110A2F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51" w:type="dxa"/>
            <w:shd w:val="clear" w:color="auto" w:fill="auto"/>
            <w:vAlign w:val="center"/>
          </w:tcPr>
          <w:p w14:paraId="23A91437">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847" w:type="dxa"/>
            <w:shd w:val="clear" w:color="auto" w:fill="auto"/>
            <w:vAlign w:val="center"/>
          </w:tcPr>
          <w:p w14:paraId="0A182AC5">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1050" w:type="dxa"/>
            <w:shd w:val="clear" w:color="auto" w:fill="auto"/>
            <w:vAlign w:val="center"/>
          </w:tcPr>
          <w:p w14:paraId="3907234E">
            <w:pPr>
              <w:widowControl/>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bl>
    <w:p w14:paraId="489855CF">
      <w:pPr>
        <w:widowControl/>
        <w:shd w:val="clear" w:color="auto" w:fill="FFFFFF"/>
        <w:spacing w:line="560" w:lineRule="exact"/>
        <w:ind w:firstLine="788" w:firstLineChars="200"/>
        <w:rPr>
          <w:rFonts w:ascii="黑体" w:hAnsi="黑体" w:eastAsia="黑体" w:cs="Arial"/>
          <w:color w:val="333333"/>
          <w:spacing w:val="37"/>
          <w:kern w:val="0"/>
          <w:sz w:val="32"/>
          <w:szCs w:val="32"/>
        </w:rPr>
      </w:pPr>
      <w:r>
        <w:rPr>
          <w:rFonts w:hint="eastAsia" w:ascii="黑体" w:hAnsi="黑体" w:eastAsia="黑体" w:cs="Arial"/>
          <w:color w:val="333333"/>
          <w:spacing w:val="37"/>
          <w:kern w:val="0"/>
          <w:sz w:val="32"/>
          <w:szCs w:val="32"/>
        </w:rPr>
        <w:t>四、政府信息公开行政复议、行政诉讼情况</w:t>
      </w:r>
    </w:p>
    <w:tbl>
      <w:tblPr>
        <w:tblStyle w:val="8"/>
        <w:tblW w:w="8979" w:type="dxa"/>
        <w:jc w:val="center"/>
        <w:tblLayout w:type="autofit"/>
        <w:tblCellMar>
          <w:top w:w="0" w:type="dxa"/>
          <w:left w:w="108" w:type="dxa"/>
          <w:bottom w:w="0" w:type="dxa"/>
          <w:right w:w="108" w:type="dxa"/>
        </w:tblCellMar>
      </w:tblPr>
      <w:tblGrid>
        <w:gridCol w:w="568"/>
        <w:gridCol w:w="567"/>
        <w:gridCol w:w="567"/>
        <w:gridCol w:w="567"/>
        <w:gridCol w:w="792"/>
        <w:gridCol w:w="484"/>
        <w:gridCol w:w="567"/>
        <w:gridCol w:w="567"/>
        <w:gridCol w:w="567"/>
        <w:gridCol w:w="709"/>
        <w:gridCol w:w="605"/>
        <w:gridCol w:w="542"/>
        <w:gridCol w:w="543"/>
        <w:gridCol w:w="542"/>
        <w:gridCol w:w="792"/>
      </w:tblGrid>
      <w:tr w14:paraId="3EC8118B">
        <w:tblPrEx>
          <w:tblCellMar>
            <w:top w:w="0" w:type="dxa"/>
            <w:left w:w="108" w:type="dxa"/>
            <w:bottom w:w="0" w:type="dxa"/>
            <w:right w:w="108" w:type="dxa"/>
          </w:tblCellMar>
        </w:tblPrEx>
        <w:trPr>
          <w:trHeight w:val="585" w:hRule="atLeast"/>
          <w:jc w:val="center"/>
        </w:trPr>
        <w:tc>
          <w:tcPr>
            <w:tcW w:w="306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43F0C1">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行政复议</w:t>
            </w:r>
          </w:p>
        </w:tc>
        <w:tc>
          <w:tcPr>
            <w:tcW w:w="5918" w:type="dxa"/>
            <w:gridSpan w:val="10"/>
            <w:tcBorders>
              <w:top w:val="single" w:color="auto" w:sz="4" w:space="0"/>
              <w:left w:val="nil"/>
              <w:bottom w:val="single" w:color="auto" w:sz="4" w:space="0"/>
              <w:right w:val="single" w:color="auto" w:sz="4" w:space="0"/>
            </w:tcBorders>
            <w:shd w:val="clear" w:color="auto" w:fill="auto"/>
            <w:vAlign w:val="center"/>
          </w:tcPr>
          <w:p w14:paraId="0CB37471">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行政诉讼</w:t>
            </w:r>
          </w:p>
        </w:tc>
      </w:tr>
      <w:tr w14:paraId="73440F53">
        <w:tblPrEx>
          <w:tblCellMar>
            <w:top w:w="0" w:type="dxa"/>
            <w:left w:w="108" w:type="dxa"/>
            <w:bottom w:w="0" w:type="dxa"/>
            <w:right w:w="108" w:type="dxa"/>
          </w:tblCellMar>
        </w:tblPrEx>
        <w:trPr>
          <w:trHeight w:val="585" w:hRule="atLeast"/>
          <w:jc w:val="center"/>
        </w:trPr>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8B0A6C">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结果维持</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AC912F">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结果纠正</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FE5C9">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其他结果</w:t>
            </w: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8FBA06">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尚未审结</w:t>
            </w:r>
          </w:p>
        </w:tc>
        <w:tc>
          <w:tcPr>
            <w:tcW w:w="7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C6C59">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总计</w:t>
            </w:r>
          </w:p>
        </w:tc>
        <w:tc>
          <w:tcPr>
            <w:tcW w:w="2894" w:type="dxa"/>
            <w:gridSpan w:val="5"/>
            <w:tcBorders>
              <w:top w:val="single" w:color="auto" w:sz="4" w:space="0"/>
              <w:left w:val="nil"/>
              <w:bottom w:val="single" w:color="auto" w:sz="4" w:space="0"/>
              <w:right w:val="single" w:color="auto" w:sz="4" w:space="0"/>
            </w:tcBorders>
            <w:shd w:val="clear" w:color="auto" w:fill="auto"/>
            <w:vAlign w:val="center"/>
          </w:tcPr>
          <w:p w14:paraId="3AF549BF">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未经复议直接起诉</w:t>
            </w:r>
          </w:p>
        </w:tc>
        <w:tc>
          <w:tcPr>
            <w:tcW w:w="3024" w:type="dxa"/>
            <w:gridSpan w:val="5"/>
            <w:tcBorders>
              <w:top w:val="single" w:color="auto" w:sz="4" w:space="0"/>
              <w:left w:val="nil"/>
              <w:bottom w:val="single" w:color="auto" w:sz="4" w:space="0"/>
              <w:right w:val="single" w:color="auto" w:sz="4" w:space="0"/>
            </w:tcBorders>
            <w:shd w:val="clear" w:color="auto" w:fill="auto"/>
            <w:vAlign w:val="center"/>
          </w:tcPr>
          <w:p w14:paraId="4F091A1B">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复议后起诉</w:t>
            </w:r>
          </w:p>
        </w:tc>
      </w:tr>
      <w:tr w14:paraId="095D5ECA">
        <w:tblPrEx>
          <w:tblCellMar>
            <w:top w:w="0" w:type="dxa"/>
            <w:left w:w="108" w:type="dxa"/>
            <w:bottom w:w="0" w:type="dxa"/>
            <w:right w:w="108" w:type="dxa"/>
          </w:tblCellMar>
        </w:tblPrEx>
        <w:trPr>
          <w:trHeight w:val="585" w:hRule="atLeast"/>
          <w:jc w:val="center"/>
        </w:trPr>
        <w:tc>
          <w:tcPr>
            <w:tcW w:w="568" w:type="dxa"/>
            <w:vMerge w:val="continue"/>
            <w:tcBorders>
              <w:top w:val="single" w:color="auto" w:sz="4" w:space="0"/>
              <w:left w:val="single" w:color="auto" w:sz="4" w:space="0"/>
              <w:bottom w:val="single" w:color="auto" w:sz="4" w:space="0"/>
              <w:right w:val="single" w:color="auto" w:sz="4" w:space="0"/>
            </w:tcBorders>
            <w:vAlign w:val="center"/>
          </w:tcPr>
          <w:p w14:paraId="2D09FC56">
            <w:pPr>
              <w:widowControl/>
              <w:jc w:val="left"/>
              <w:rPr>
                <w:rFonts w:ascii="宋体" w:hAnsi="宋体" w:eastAsia="宋体" w:cs="宋体"/>
                <w:bCs/>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CE4736A">
            <w:pPr>
              <w:widowControl/>
              <w:jc w:val="left"/>
              <w:rPr>
                <w:rFonts w:ascii="宋体" w:hAnsi="宋体" w:eastAsia="宋体" w:cs="宋体"/>
                <w:bCs/>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7E886D7">
            <w:pPr>
              <w:widowControl/>
              <w:jc w:val="left"/>
              <w:rPr>
                <w:rFonts w:ascii="宋体" w:hAnsi="宋体" w:eastAsia="宋体" w:cs="宋体"/>
                <w:bCs/>
                <w:color w:val="000000"/>
                <w:kern w:val="0"/>
                <w:sz w:val="20"/>
                <w:szCs w:val="20"/>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249C86BC">
            <w:pPr>
              <w:widowControl/>
              <w:jc w:val="left"/>
              <w:rPr>
                <w:rFonts w:ascii="宋体" w:hAnsi="宋体" w:eastAsia="宋体" w:cs="宋体"/>
                <w:bCs/>
                <w:color w:val="000000"/>
                <w:kern w:val="0"/>
                <w:sz w:val="20"/>
                <w:szCs w:val="20"/>
              </w:rPr>
            </w:pPr>
          </w:p>
        </w:tc>
        <w:tc>
          <w:tcPr>
            <w:tcW w:w="792" w:type="dxa"/>
            <w:vMerge w:val="continue"/>
            <w:tcBorders>
              <w:top w:val="single" w:color="auto" w:sz="4" w:space="0"/>
              <w:left w:val="single" w:color="auto" w:sz="4" w:space="0"/>
              <w:bottom w:val="single" w:color="auto" w:sz="4" w:space="0"/>
              <w:right w:val="single" w:color="auto" w:sz="4" w:space="0"/>
            </w:tcBorders>
            <w:vAlign w:val="center"/>
          </w:tcPr>
          <w:p w14:paraId="44331F08">
            <w:pPr>
              <w:widowControl/>
              <w:jc w:val="left"/>
              <w:rPr>
                <w:rFonts w:ascii="宋体" w:hAnsi="宋体" w:eastAsia="宋体" w:cs="宋体"/>
                <w:bCs/>
                <w:color w:val="000000"/>
                <w:kern w:val="0"/>
                <w:sz w:val="20"/>
                <w:szCs w:val="20"/>
              </w:rPr>
            </w:pPr>
          </w:p>
        </w:tc>
        <w:tc>
          <w:tcPr>
            <w:tcW w:w="484" w:type="dxa"/>
            <w:tcBorders>
              <w:top w:val="single" w:color="auto" w:sz="4" w:space="0"/>
              <w:left w:val="nil"/>
              <w:bottom w:val="single" w:color="auto" w:sz="4" w:space="0"/>
              <w:right w:val="single" w:color="auto" w:sz="4" w:space="0"/>
            </w:tcBorders>
            <w:shd w:val="clear" w:color="auto" w:fill="auto"/>
            <w:vAlign w:val="center"/>
          </w:tcPr>
          <w:p w14:paraId="1C82A908">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结果维持</w:t>
            </w:r>
          </w:p>
        </w:tc>
        <w:tc>
          <w:tcPr>
            <w:tcW w:w="567" w:type="dxa"/>
            <w:tcBorders>
              <w:top w:val="single" w:color="auto" w:sz="4" w:space="0"/>
              <w:left w:val="nil"/>
              <w:bottom w:val="single" w:color="auto" w:sz="4" w:space="0"/>
              <w:right w:val="single" w:color="auto" w:sz="4" w:space="0"/>
            </w:tcBorders>
            <w:shd w:val="clear" w:color="auto" w:fill="auto"/>
            <w:vAlign w:val="center"/>
          </w:tcPr>
          <w:p w14:paraId="0DEC9F49">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结果纠正</w:t>
            </w:r>
          </w:p>
        </w:tc>
        <w:tc>
          <w:tcPr>
            <w:tcW w:w="567" w:type="dxa"/>
            <w:tcBorders>
              <w:top w:val="single" w:color="auto" w:sz="4" w:space="0"/>
              <w:left w:val="nil"/>
              <w:bottom w:val="single" w:color="auto" w:sz="4" w:space="0"/>
              <w:right w:val="single" w:color="auto" w:sz="4" w:space="0"/>
            </w:tcBorders>
            <w:shd w:val="clear" w:color="auto" w:fill="auto"/>
            <w:vAlign w:val="center"/>
          </w:tcPr>
          <w:p w14:paraId="3B0B3AF8">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其他结果</w:t>
            </w:r>
          </w:p>
        </w:tc>
        <w:tc>
          <w:tcPr>
            <w:tcW w:w="567" w:type="dxa"/>
            <w:tcBorders>
              <w:top w:val="single" w:color="auto" w:sz="4" w:space="0"/>
              <w:left w:val="nil"/>
              <w:bottom w:val="single" w:color="auto" w:sz="4" w:space="0"/>
              <w:right w:val="single" w:color="auto" w:sz="4" w:space="0"/>
            </w:tcBorders>
            <w:shd w:val="clear" w:color="auto" w:fill="auto"/>
            <w:vAlign w:val="center"/>
          </w:tcPr>
          <w:p w14:paraId="17B1A30F">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尚未审结</w:t>
            </w:r>
          </w:p>
        </w:tc>
        <w:tc>
          <w:tcPr>
            <w:tcW w:w="709" w:type="dxa"/>
            <w:tcBorders>
              <w:top w:val="single" w:color="auto" w:sz="4" w:space="0"/>
              <w:left w:val="nil"/>
              <w:bottom w:val="single" w:color="auto" w:sz="4" w:space="0"/>
              <w:right w:val="single" w:color="auto" w:sz="4" w:space="0"/>
            </w:tcBorders>
            <w:shd w:val="clear" w:color="auto" w:fill="auto"/>
            <w:vAlign w:val="center"/>
          </w:tcPr>
          <w:p w14:paraId="7E2CECDB">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总计</w:t>
            </w:r>
          </w:p>
        </w:tc>
        <w:tc>
          <w:tcPr>
            <w:tcW w:w="605" w:type="dxa"/>
            <w:tcBorders>
              <w:top w:val="single" w:color="auto" w:sz="4" w:space="0"/>
              <w:left w:val="nil"/>
              <w:bottom w:val="single" w:color="auto" w:sz="4" w:space="0"/>
              <w:right w:val="single" w:color="auto" w:sz="4" w:space="0"/>
            </w:tcBorders>
            <w:shd w:val="clear" w:color="auto" w:fill="auto"/>
            <w:vAlign w:val="center"/>
          </w:tcPr>
          <w:p w14:paraId="5495B9FF">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结果维持</w:t>
            </w:r>
          </w:p>
        </w:tc>
        <w:tc>
          <w:tcPr>
            <w:tcW w:w="542" w:type="dxa"/>
            <w:tcBorders>
              <w:top w:val="single" w:color="auto" w:sz="4" w:space="0"/>
              <w:left w:val="nil"/>
              <w:bottom w:val="single" w:color="auto" w:sz="4" w:space="0"/>
              <w:right w:val="single" w:color="auto" w:sz="4" w:space="0"/>
            </w:tcBorders>
            <w:shd w:val="clear" w:color="auto" w:fill="auto"/>
            <w:vAlign w:val="center"/>
          </w:tcPr>
          <w:p w14:paraId="7CB84E09">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结果纠正</w:t>
            </w:r>
          </w:p>
        </w:tc>
        <w:tc>
          <w:tcPr>
            <w:tcW w:w="543" w:type="dxa"/>
            <w:tcBorders>
              <w:top w:val="single" w:color="auto" w:sz="4" w:space="0"/>
              <w:left w:val="nil"/>
              <w:bottom w:val="single" w:color="auto" w:sz="4" w:space="0"/>
              <w:right w:val="single" w:color="auto" w:sz="4" w:space="0"/>
            </w:tcBorders>
            <w:shd w:val="clear" w:color="auto" w:fill="auto"/>
            <w:vAlign w:val="center"/>
          </w:tcPr>
          <w:p w14:paraId="35DF54A3">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其他结果</w:t>
            </w:r>
          </w:p>
        </w:tc>
        <w:tc>
          <w:tcPr>
            <w:tcW w:w="542" w:type="dxa"/>
            <w:tcBorders>
              <w:top w:val="single" w:color="auto" w:sz="4" w:space="0"/>
              <w:left w:val="nil"/>
              <w:bottom w:val="single" w:color="auto" w:sz="4" w:space="0"/>
              <w:right w:val="single" w:color="auto" w:sz="4" w:space="0"/>
            </w:tcBorders>
            <w:shd w:val="clear" w:color="auto" w:fill="auto"/>
            <w:vAlign w:val="center"/>
          </w:tcPr>
          <w:p w14:paraId="07C48853">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尚未审结</w:t>
            </w:r>
          </w:p>
        </w:tc>
        <w:tc>
          <w:tcPr>
            <w:tcW w:w="792" w:type="dxa"/>
            <w:tcBorders>
              <w:top w:val="single" w:color="auto" w:sz="4" w:space="0"/>
              <w:left w:val="nil"/>
              <w:bottom w:val="single" w:color="auto" w:sz="4" w:space="0"/>
              <w:right w:val="single" w:color="auto" w:sz="4" w:space="0"/>
            </w:tcBorders>
            <w:shd w:val="clear" w:color="auto" w:fill="auto"/>
            <w:vAlign w:val="center"/>
          </w:tcPr>
          <w:p w14:paraId="12F294E9">
            <w:pPr>
              <w:widowControl/>
              <w:jc w:val="center"/>
              <w:rPr>
                <w:rFonts w:ascii="宋体" w:hAnsi="宋体" w:eastAsia="宋体" w:cs="宋体"/>
                <w:bCs/>
                <w:color w:val="000000"/>
                <w:kern w:val="0"/>
                <w:sz w:val="20"/>
                <w:szCs w:val="20"/>
              </w:rPr>
            </w:pPr>
            <w:r>
              <w:rPr>
                <w:rFonts w:hint="eastAsia" w:ascii="宋体" w:hAnsi="宋体" w:eastAsia="宋体" w:cs="宋体"/>
                <w:bCs/>
                <w:color w:val="000000"/>
                <w:kern w:val="0"/>
                <w:sz w:val="20"/>
                <w:szCs w:val="20"/>
              </w:rPr>
              <w:t>总计</w:t>
            </w:r>
          </w:p>
        </w:tc>
      </w:tr>
      <w:tr w14:paraId="781FDA51">
        <w:tblPrEx>
          <w:tblCellMar>
            <w:top w:w="0" w:type="dxa"/>
            <w:left w:w="108" w:type="dxa"/>
            <w:bottom w:w="0" w:type="dxa"/>
            <w:right w:w="108" w:type="dxa"/>
          </w:tblCellMar>
        </w:tblPrEx>
        <w:trPr>
          <w:trHeight w:val="585" w:hRule="atLeast"/>
          <w:jc w:val="center"/>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1D1A3AA">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2</w:t>
            </w:r>
          </w:p>
        </w:tc>
        <w:tc>
          <w:tcPr>
            <w:tcW w:w="567" w:type="dxa"/>
            <w:tcBorders>
              <w:top w:val="single" w:color="auto" w:sz="4" w:space="0"/>
              <w:left w:val="nil"/>
              <w:bottom w:val="single" w:color="auto" w:sz="4" w:space="0"/>
              <w:right w:val="single" w:color="auto" w:sz="4" w:space="0"/>
            </w:tcBorders>
            <w:shd w:val="clear" w:color="auto" w:fill="auto"/>
            <w:vAlign w:val="center"/>
          </w:tcPr>
          <w:p w14:paraId="66D00033">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vAlign w:val="center"/>
          </w:tcPr>
          <w:p w14:paraId="2D3DB278">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vAlign w:val="center"/>
          </w:tcPr>
          <w:p w14:paraId="134238ED">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0</w:t>
            </w:r>
          </w:p>
        </w:tc>
        <w:tc>
          <w:tcPr>
            <w:tcW w:w="792" w:type="dxa"/>
            <w:tcBorders>
              <w:top w:val="single" w:color="auto" w:sz="4" w:space="0"/>
              <w:left w:val="nil"/>
              <w:bottom w:val="single" w:color="auto" w:sz="4" w:space="0"/>
              <w:right w:val="single" w:color="auto" w:sz="4" w:space="0"/>
            </w:tcBorders>
            <w:shd w:val="clear" w:color="auto" w:fill="auto"/>
            <w:vAlign w:val="center"/>
          </w:tcPr>
          <w:p w14:paraId="491F6B59">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2</w:t>
            </w:r>
          </w:p>
        </w:tc>
        <w:tc>
          <w:tcPr>
            <w:tcW w:w="484" w:type="dxa"/>
            <w:tcBorders>
              <w:top w:val="single" w:color="auto" w:sz="4" w:space="0"/>
              <w:left w:val="nil"/>
              <w:bottom w:val="single" w:color="auto" w:sz="4" w:space="0"/>
              <w:right w:val="single" w:color="auto" w:sz="4" w:space="0"/>
            </w:tcBorders>
            <w:shd w:val="clear" w:color="auto" w:fill="auto"/>
            <w:vAlign w:val="center"/>
          </w:tcPr>
          <w:p w14:paraId="7F991A7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567" w:type="dxa"/>
            <w:tcBorders>
              <w:top w:val="single" w:color="auto" w:sz="4" w:space="0"/>
              <w:left w:val="nil"/>
              <w:bottom w:val="single" w:color="auto" w:sz="4" w:space="0"/>
              <w:right w:val="single" w:color="auto" w:sz="4" w:space="0"/>
            </w:tcBorders>
            <w:shd w:val="clear" w:color="auto" w:fill="auto"/>
            <w:vAlign w:val="center"/>
          </w:tcPr>
          <w:p w14:paraId="5FE6A62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vAlign w:val="center"/>
          </w:tcPr>
          <w:p w14:paraId="356BC84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67" w:type="dxa"/>
            <w:tcBorders>
              <w:top w:val="single" w:color="auto" w:sz="4" w:space="0"/>
              <w:left w:val="nil"/>
              <w:bottom w:val="single" w:color="auto" w:sz="4" w:space="0"/>
              <w:right w:val="single" w:color="auto" w:sz="4" w:space="0"/>
            </w:tcBorders>
            <w:shd w:val="clear" w:color="auto" w:fill="auto"/>
            <w:vAlign w:val="center"/>
          </w:tcPr>
          <w:p w14:paraId="2536490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709" w:type="dxa"/>
            <w:tcBorders>
              <w:top w:val="single" w:color="auto" w:sz="4" w:space="0"/>
              <w:left w:val="nil"/>
              <w:bottom w:val="single" w:color="auto" w:sz="4" w:space="0"/>
              <w:right w:val="single" w:color="auto" w:sz="4" w:space="0"/>
            </w:tcBorders>
            <w:shd w:val="clear" w:color="auto" w:fill="auto"/>
            <w:vAlign w:val="center"/>
          </w:tcPr>
          <w:p w14:paraId="6AAC34E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605" w:type="dxa"/>
            <w:tcBorders>
              <w:top w:val="single" w:color="auto" w:sz="4" w:space="0"/>
              <w:left w:val="nil"/>
              <w:bottom w:val="single" w:color="auto" w:sz="4" w:space="0"/>
              <w:right w:val="single" w:color="auto" w:sz="4" w:space="0"/>
            </w:tcBorders>
            <w:shd w:val="clear" w:color="auto" w:fill="auto"/>
            <w:vAlign w:val="center"/>
          </w:tcPr>
          <w:p w14:paraId="6C5A5E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42" w:type="dxa"/>
            <w:tcBorders>
              <w:top w:val="single" w:color="auto" w:sz="4" w:space="0"/>
              <w:left w:val="nil"/>
              <w:bottom w:val="single" w:color="auto" w:sz="4" w:space="0"/>
              <w:right w:val="single" w:color="auto" w:sz="4" w:space="0"/>
            </w:tcBorders>
            <w:shd w:val="clear" w:color="auto" w:fill="auto"/>
            <w:vAlign w:val="center"/>
          </w:tcPr>
          <w:p w14:paraId="6CD5826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43" w:type="dxa"/>
            <w:tcBorders>
              <w:top w:val="single" w:color="auto" w:sz="4" w:space="0"/>
              <w:left w:val="nil"/>
              <w:bottom w:val="single" w:color="auto" w:sz="4" w:space="0"/>
              <w:right w:val="single" w:color="auto" w:sz="4" w:space="0"/>
            </w:tcBorders>
            <w:shd w:val="clear" w:color="auto" w:fill="auto"/>
            <w:vAlign w:val="center"/>
          </w:tcPr>
          <w:p w14:paraId="192DEBA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542" w:type="dxa"/>
            <w:tcBorders>
              <w:top w:val="single" w:color="auto" w:sz="4" w:space="0"/>
              <w:left w:val="nil"/>
              <w:bottom w:val="single" w:color="auto" w:sz="4" w:space="0"/>
              <w:right w:val="single" w:color="auto" w:sz="4" w:space="0"/>
            </w:tcBorders>
            <w:shd w:val="clear" w:color="auto" w:fill="auto"/>
            <w:vAlign w:val="center"/>
          </w:tcPr>
          <w:p w14:paraId="63DC063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792" w:type="dxa"/>
            <w:tcBorders>
              <w:top w:val="single" w:color="auto" w:sz="4" w:space="0"/>
              <w:left w:val="nil"/>
              <w:bottom w:val="single" w:color="auto" w:sz="4" w:space="0"/>
              <w:right w:val="single" w:color="auto" w:sz="4" w:space="0"/>
            </w:tcBorders>
            <w:shd w:val="clear" w:color="auto" w:fill="auto"/>
            <w:vAlign w:val="center"/>
          </w:tcPr>
          <w:p w14:paraId="6349C765">
            <w:pPr>
              <w:widowControl/>
              <w:jc w:val="center"/>
              <w:rPr>
                <w:rFonts w:ascii="Calibri" w:hAnsi="Calibri" w:eastAsia="宋体" w:cs="Calibri"/>
                <w:color w:val="000000"/>
                <w:kern w:val="0"/>
                <w:szCs w:val="21"/>
              </w:rPr>
            </w:pPr>
            <w:r>
              <w:rPr>
                <w:rFonts w:ascii="Calibri" w:hAnsi="Calibri" w:eastAsia="宋体" w:cs="Calibri"/>
                <w:color w:val="000000"/>
                <w:kern w:val="0"/>
                <w:szCs w:val="21"/>
              </w:rPr>
              <w:t>0</w:t>
            </w:r>
          </w:p>
        </w:tc>
      </w:tr>
    </w:tbl>
    <w:p w14:paraId="215D773D">
      <w:pPr>
        <w:widowControl/>
        <w:shd w:val="clear" w:color="auto" w:fill="FFFFFF"/>
        <w:spacing w:line="560" w:lineRule="exact"/>
        <w:ind w:firstLine="788" w:firstLineChars="200"/>
        <w:rPr>
          <w:rFonts w:ascii="黑体" w:hAnsi="黑体" w:eastAsia="黑体" w:cs="Arial"/>
          <w:color w:val="333333"/>
          <w:spacing w:val="37"/>
          <w:kern w:val="0"/>
          <w:sz w:val="32"/>
          <w:szCs w:val="32"/>
        </w:rPr>
      </w:pPr>
      <w:r>
        <w:rPr>
          <w:rFonts w:hint="eastAsia" w:ascii="黑体" w:hAnsi="黑体" w:eastAsia="黑体" w:cs="Arial"/>
          <w:color w:val="333333"/>
          <w:spacing w:val="37"/>
          <w:kern w:val="0"/>
          <w:sz w:val="32"/>
          <w:szCs w:val="32"/>
        </w:rPr>
        <w:t>五、存在的主要问题及改进情况</w:t>
      </w:r>
    </w:p>
    <w:p w14:paraId="0325B249">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（一）政务公开质量和水平有待进一步深化</w:t>
      </w:r>
    </w:p>
    <w:p w14:paraId="093917E8">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仍然需要从公开范围、公开重点、明细程度、公开时限四个方面进一步提升政务公开的质量，真正做到政务公开服务为民、便利为民。不断完善信息公开的渠道和方式，多渠道、全方面反映财政工作开展情况。</w:t>
      </w:r>
    </w:p>
    <w:p w14:paraId="30EC0CCA">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（二）信息公开培训活动有待进一步强化</w:t>
      </w:r>
    </w:p>
    <w:p w14:paraId="52EFF7A1">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进一步加强政务公开业务培训和信息公开问题研究，尤其是针对信息公开办理细节和规范要求等方面需紧跟政策条例进行强化学习，提升依申请公开的答复水平，保障政务公开工作高效有序推进。</w:t>
      </w:r>
    </w:p>
    <w:p w14:paraId="65AE8F13">
      <w:pPr>
        <w:widowControl/>
        <w:spacing w:line="560" w:lineRule="exact"/>
        <w:ind w:firstLine="640" w:firstLineChars="200"/>
        <w:rPr>
          <w:rFonts w:ascii="楷体_GB2312" w:hAnsi="宋体" w:eastAsia="楷体_GB2312" w:cs="宋体"/>
          <w:kern w:val="0"/>
          <w:sz w:val="32"/>
          <w:szCs w:val="32"/>
        </w:rPr>
      </w:pPr>
      <w:r>
        <w:rPr>
          <w:rFonts w:hint="eastAsia" w:ascii="楷体_GB2312" w:hAnsi="宋体" w:eastAsia="楷体_GB2312" w:cs="宋体"/>
          <w:kern w:val="0"/>
          <w:sz w:val="32"/>
          <w:szCs w:val="32"/>
        </w:rPr>
        <w:t>（三）公开联动机制有待进一步加强</w:t>
      </w:r>
    </w:p>
    <w:p w14:paraId="3E25BD1B">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部分信息公开申请涉及多个领域和责任部门，因此需要建立信息公开的沟通联动机制，加强对共性业务的研究，以业务研究带动队伍建设，提升依申请答复整体水平，切实发挥好信息公开对建设法治政府、廉洁政府的促进作用。</w:t>
      </w:r>
    </w:p>
    <w:p w14:paraId="34F84847">
      <w:pPr>
        <w:widowControl/>
        <w:shd w:val="clear" w:color="auto" w:fill="FFFFFF"/>
        <w:spacing w:line="560" w:lineRule="exact"/>
        <w:ind w:firstLine="788" w:firstLineChars="200"/>
        <w:rPr>
          <w:rFonts w:ascii="黑体" w:hAnsi="黑体" w:eastAsia="黑体" w:cs="Arial"/>
          <w:color w:val="333333"/>
          <w:spacing w:val="37"/>
          <w:kern w:val="0"/>
          <w:sz w:val="32"/>
          <w:szCs w:val="32"/>
        </w:rPr>
      </w:pPr>
      <w:r>
        <w:rPr>
          <w:rFonts w:hint="eastAsia" w:ascii="黑体" w:hAnsi="黑体" w:eastAsia="黑体" w:cs="Arial"/>
          <w:color w:val="333333"/>
          <w:spacing w:val="37"/>
          <w:kern w:val="0"/>
          <w:sz w:val="32"/>
          <w:szCs w:val="32"/>
        </w:rPr>
        <w:t>六、其他需要报告的事项</w:t>
      </w:r>
    </w:p>
    <w:p w14:paraId="757679B6">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北京市丰台区财政局网站（“首都之窗”）网址为http://www.bjft.gov.cn/zfxxgk/ftq11GG07/ftbm_index.shtml，如需了解更多政府信息，请登录查询。</w:t>
      </w:r>
    </w:p>
    <w:p w14:paraId="2AF654EC">
      <w:pPr>
        <w:spacing w:line="600" w:lineRule="exact"/>
        <w:ind w:right="960" w:firstLine="5280" w:firstLineChars="16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丰台区财政局        </w:t>
      </w:r>
    </w:p>
    <w:p w14:paraId="218C47CD">
      <w:pPr>
        <w:wordWrap w:val="0"/>
        <w:spacing w:line="600" w:lineRule="exact"/>
        <w:jc w:val="right"/>
        <w:rPr>
          <w:rFonts w:ascii="仿宋_GB2312" w:eastAsia="仿宋_GB2312" w:cs="仿宋_GB2312"/>
          <w:kern w:val="0"/>
          <w:sz w:val="30"/>
          <w:szCs w:val="30"/>
        </w:rPr>
      </w:pP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20</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 xml:space="preserve">1月       </w:t>
      </w:r>
      <w:bookmarkEnd w:id="0"/>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1069095"/>
      <w:docPartObj>
        <w:docPartGallery w:val="AutoText"/>
      </w:docPartObj>
    </w:sdtPr>
    <w:sdtContent>
      <w:p w14:paraId="68DB5CDB">
        <w:pPr>
          <w:pStyle w:val="5"/>
          <w:jc w:val="center"/>
        </w:pPr>
        <w:r>
          <w:fldChar w:fldCharType="begin"/>
        </w:r>
        <w:r>
          <w:instrText xml:space="preserve">PAGE   \* MERGEFORMAT</w:instrText>
        </w:r>
        <w:r>
          <w:fldChar w:fldCharType="separate"/>
        </w:r>
        <w:r>
          <w:rPr>
            <w:lang w:val="zh-CN"/>
          </w:rPr>
          <w:t>13</w:t>
        </w:r>
        <w:r>
          <w:fldChar w:fldCharType="end"/>
        </w:r>
      </w:p>
    </w:sdtContent>
  </w:sdt>
  <w:p w14:paraId="5BBE822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C6299">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74C"/>
    <w:rsid w:val="0001600E"/>
    <w:rsid w:val="0002546E"/>
    <w:rsid w:val="00027E6D"/>
    <w:rsid w:val="00034339"/>
    <w:rsid w:val="00050041"/>
    <w:rsid w:val="00052328"/>
    <w:rsid w:val="00053BCB"/>
    <w:rsid w:val="00060B0D"/>
    <w:rsid w:val="00066D47"/>
    <w:rsid w:val="00073DAE"/>
    <w:rsid w:val="00082546"/>
    <w:rsid w:val="000828EC"/>
    <w:rsid w:val="00082C58"/>
    <w:rsid w:val="00095713"/>
    <w:rsid w:val="000A0EA5"/>
    <w:rsid w:val="000A5BCB"/>
    <w:rsid w:val="000A71B8"/>
    <w:rsid w:val="000B1582"/>
    <w:rsid w:val="000B4919"/>
    <w:rsid w:val="000B4A0C"/>
    <w:rsid w:val="000C11BF"/>
    <w:rsid w:val="000C6340"/>
    <w:rsid w:val="000C692D"/>
    <w:rsid w:val="000D0384"/>
    <w:rsid w:val="000D21D8"/>
    <w:rsid w:val="000E29C3"/>
    <w:rsid w:val="000F1119"/>
    <w:rsid w:val="000F5C23"/>
    <w:rsid w:val="000F5F93"/>
    <w:rsid w:val="000F6ED0"/>
    <w:rsid w:val="00101C9A"/>
    <w:rsid w:val="00104042"/>
    <w:rsid w:val="001041BD"/>
    <w:rsid w:val="001068B1"/>
    <w:rsid w:val="00107D2E"/>
    <w:rsid w:val="0011004A"/>
    <w:rsid w:val="001169C1"/>
    <w:rsid w:val="00120E6B"/>
    <w:rsid w:val="001232EC"/>
    <w:rsid w:val="00131F6C"/>
    <w:rsid w:val="00133AEA"/>
    <w:rsid w:val="00140A52"/>
    <w:rsid w:val="001444C0"/>
    <w:rsid w:val="001449C3"/>
    <w:rsid w:val="001523B8"/>
    <w:rsid w:val="001528BE"/>
    <w:rsid w:val="00160E68"/>
    <w:rsid w:val="001666F7"/>
    <w:rsid w:val="00167D56"/>
    <w:rsid w:val="00172469"/>
    <w:rsid w:val="00176F0D"/>
    <w:rsid w:val="00180070"/>
    <w:rsid w:val="00181D8F"/>
    <w:rsid w:val="00187CA2"/>
    <w:rsid w:val="00190B6F"/>
    <w:rsid w:val="001A3A7D"/>
    <w:rsid w:val="001A45DC"/>
    <w:rsid w:val="001A5D31"/>
    <w:rsid w:val="001B53A9"/>
    <w:rsid w:val="001C135E"/>
    <w:rsid w:val="001C5A64"/>
    <w:rsid w:val="001C786C"/>
    <w:rsid w:val="001D1FC3"/>
    <w:rsid w:val="001D558C"/>
    <w:rsid w:val="001E5265"/>
    <w:rsid w:val="001E659D"/>
    <w:rsid w:val="001F2D54"/>
    <w:rsid w:val="002153A7"/>
    <w:rsid w:val="00235919"/>
    <w:rsid w:val="00242067"/>
    <w:rsid w:val="00244731"/>
    <w:rsid w:val="00250E3B"/>
    <w:rsid w:val="00252E6B"/>
    <w:rsid w:val="002534AB"/>
    <w:rsid w:val="00253B2B"/>
    <w:rsid w:val="00256AAF"/>
    <w:rsid w:val="00263C78"/>
    <w:rsid w:val="002647BE"/>
    <w:rsid w:val="00265BC1"/>
    <w:rsid w:val="00274529"/>
    <w:rsid w:val="00287208"/>
    <w:rsid w:val="00297D9C"/>
    <w:rsid w:val="002A0D5B"/>
    <w:rsid w:val="002A2EB7"/>
    <w:rsid w:val="002A617F"/>
    <w:rsid w:val="002C050D"/>
    <w:rsid w:val="002C0BE4"/>
    <w:rsid w:val="002D1D22"/>
    <w:rsid w:val="002D3B2D"/>
    <w:rsid w:val="002E1032"/>
    <w:rsid w:val="002F5864"/>
    <w:rsid w:val="002F6786"/>
    <w:rsid w:val="002F6BA3"/>
    <w:rsid w:val="00303F43"/>
    <w:rsid w:val="00305765"/>
    <w:rsid w:val="003136F6"/>
    <w:rsid w:val="00321B43"/>
    <w:rsid w:val="003248B5"/>
    <w:rsid w:val="00331531"/>
    <w:rsid w:val="00331738"/>
    <w:rsid w:val="00334251"/>
    <w:rsid w:val="0034232E"/>
    <w:rsid w:val="003425F8"/>
    <w:rsid w:val="00343C8E"/>
    <w:rsid w:val="00343D32"/>
    <w:rsid w:val="003532CD"/>
    <w:rsid w:val="003671FE"/>
    <w:rsid w:val="00375809"/>
    <w:rsid w:val="003823C7"/>
    <w:rsid w:val="00384743"/>
    <w:rsid w:val="00394A7A"/>
    <w:rsid w:val="00394FB5"/>
    <w:rsid w:val="003A2A6B"/>
    <w:rsid w:val="003C4F23"/>
    <w:rsid w:val="003C60AA"/>
    <w:rsid w:val="003D1C4A"/>
    <w:rsid w:val="003D2A73"/>
    <w:rsid w:val="003D3EE9"/>
    <w:rsid w:val="003D6260"/>
    <w:rsid w:val="003D7208"/>
    <w:rsid w:val="003D78BD"/>
    <w:rsid w:val="00403033"/>
    <w:rsid w:val="0042014D"/>
    <w:rsid w:val="004211A9"/>
    <w:rsid w:val="00426664"/>
    <w:rsid w:val="0043178A"/>
    <w:rsid w:val="00431C78"/>
    <w:rsid w:val="00433BFF"/>
    <w:rsid w:val="0044369F"/>
    <w:rsid w:val="004440AF"/>
    <w:rsid w:val="0044569F"/>
    <w:rsid w:val="00452331"/>
    <w:rsid w:val="004606FA"/>
    <w:rsid w:val="004628EB"/>
    <w:rsid w:val="004666BF"/>
    <w:rsid w:val="004676FF"/>
    <w:rsid w:val="00472D3C"/>
    <w:rsid w:val="00482887"/>
    <w:rsid w:val="004A24C8"/>
    <w:rsid w:val="004A3D5E"/>
    <w:rsid w:val="004A4E03"/>
    <w:rsid w:val="004A5841"/>
    <w:rsid w:val="004A5872"/>
    <w:rsid w:val="004C0193"/>
    <w:rsid w:val="004C15B8"/>
    <w:rsid w:val="004C415A"/>
    <w:rsid w:val="004C4944"/>
    <w:rsid w:val="004C71C3"/>
    <w:rsid w:val="004D0028"/>
    <w:rsid w:val="004E178D"/>
    <w:rsid w:val="004E5F17"/>
    <w:rsid w:val="004E6708"/>
    <w:rsid w:val="00515E77"/>
    <w:rsid w:val="00520CA1"/>
    <w:rsid w:val="00527543"/>
    <w:rsid w:val="00532A2D"/>
    <w:rsid w:val="00534AB2"/>
    <w:rsid w:val="00537409"/>
    <w:rsid w:val="005379EF"/>
    <w:rsid w:val="00546565"/>
    <w:rsid w:val="00552D4B"/>
    <w:rsid w:val="00562844"/>
    <w:rsid w:val="00573149"/>
    <w:rsid w:val="00585034"/>
    <w:rsid w:val="0058618D"/>
    <w:rsid w:val="00590017"/>
    <w:rsid w:val="00597C6E"/>
    <w:rsid w:val="005A33B7"/>
    <w:rsid w:val="005B7147"/>
    <w:rsid w:val="005C0951"/>
    <w:rsid w:val="005C5337"/>
    <w:rsid w:val="005D02C2"/>
    <w:rsid w:val="005D7E4C"/>
    <w:rsid w:val="005E34A8"/>
    <w:rsid w:val="005F09B5"/>
    <w:rsid w:val="005F4457"/>
    <w:rsid w:val="00602510"/>
    <w:rsid w:val="0063542D"/>
    <w:rsid w:val="006437AD"/>
    <w:rsid w:val="0064646A"/>
    <w:rsid w:val="00651BD4"/>
    <w:rsid w:val="00657AAA"/>
    <w:rsid w:val="00671631"/>
    <w:rsid w:val="006801EE"/>
    <w:rsid w:val="00683F34"/>
    <w:rsid w:val="006900A5"/>
    <w:rsid w:val="006A7B1A"/>
    <w:rsid w:val="006A7F64"/>
    <w:rsid w:val="006C1A35"/>
    <w:rsid w:val="006C21EC"/>
    <w:rsid w:val="006C2F61"/>
    <w:rsid w:val="006C4376"/>
    <w:rsid w:val="006C4F71"/>
    <w:rsid w:val="006C7EF3"/>
    <w:rsid w:val="006D0DB6"/>
    <w:rsid w:val="006D10AF"/>
    <w:rsid w:val="006D39A8"/>
    <w:rsid w:val="006D5214"/>
    <w:rsid w:val="006D55CB"/>
    <w:rsid w:val="006E09B4"/>
    <w:rsid w:val="006E111D"/>
    <w:rsid w:val="006F0E41"/>
    <w:rsid w:val="006F407F"/>
    <w:rsid w:val="006F53FA"/>
    <w:rsid w:val="007104EE"/>
    <w:rsid w:val="00712C6C"/>
    <w:rsid w:val="00714EDD"/>
    <w:rsid w:val="0074055D"/>
    <w:rsid w:val="00744D5A"/>
    <w:rsid w:val="00745C76"/>
    <w:rsid w:val="00752E1B"/>
    <w:rsid w:val="0075321F"/>
    <w:rsid w:val="0075607C"/>
    <w:rsid w:val="00760B4F"/>
    <w:rsid w:val="00774AEE"/>
    <w:rsid w:val="00783EE9"/>
    <w:rsid w:val="00784DD7"/>
    <w:rsid w:val="00786D0C"/>
    <w:rsid w:val="00791D03"/>
    <w:rsid w:val="00795268"/>
    <w:rsid w:val="007A6399"/>
    <w:rsid w:val="007B4D6A"/>
    <w:rsid w:val="007D030F"/>
    <w:rsid w:val="007D2618"/>
    <w:rsid w:val="007D32C7"/>
    <w:rsid w:val="007D5FFF"/>
    <w:rsid w:val="007F389B"/>
    <w:rsid w:val="008008F6"/>
    <w:rsid w:val="00800AD2"/>
    <w:rsid w:val="00800C44"/>
    <w:rsid w:val="00805E6A"/>
    <w:rsid w:val="00815463"/>
    <w:rsid w:val="008164F0"/>
    <w:rsid w:val="00816A32"/>
    <w:rsid w:val="00867430"/>
    <w:rsid w:val="00880F99"/>
    <w:rsid w:val="008A1D71"/>
    <w:rsid w:val="008A2A4A"/>
    <w:rsid w:val="008B3CB6"/>
    <w:rsid w:val="008B472F"/>
    <w:rsid w:val="008C27EF"/>
    <w:rsid w:val="008C61B2"/>
    <w:rsid w:val="008D622A"/>
    <w:rsid w:val="008E2B78"/>
    <w:rsid w:val="008E382B"/>
    <w:rsid w:val="008E390E"/>
    <w:rsid w:val="008E7031"/>
    <w:rsid w:val="008E7637"/>
    <w:rsid w:val="008F5D69"/>
    <w:rsid w:val="00910016"/>
    <w:rsid w:val="009131BF"/>
    <w:rsid w:val="00932025"/>
    <w:rsid w:val="00937405"/>
    <w:rsid w:val="00940AEF"/>
    <w:rsid w:val="009454B2"/>
    <w:rsid w:val="009533EE"/>
    <w:rsid w:val="00975232"/>
    <w:rsid w:val="009800C0"/>
    <w:rsid w:val="00991831"/>
    <w:rsid w:val="009928E2"/>
    <w:rsid w:val="009959D3"/>
    <w:rsid w:val="009A1A99"/>
    <w:rsid w:val="009B6628"/>
    <w:rsid w:val="009B69DB"/>
    <w:rsid w:val="009C38F1"/>
    <w:rsid w:val="009D328B"/>
    <w:rsid w:val="009D786A"/>
    <w:rsid w:val="009E31CF"/>
    <w:rsid w:val="009F026A"/>
    <w:rsid w:val="009F0B12"/>
    <w:rsid w:val="009F515B"/>
    <w:rsid w:val="009F642B"/>
    <w:rsid w:val="009F6638"/>
    <w:rsid w:val="009F7AB1"/>
    <w:rsid w:val="009F7CCA"/>
    <w:rsid w:val="00A05D20"/>
    <w:rsid w:val="00A16EF3"/>
    <w:rsid w:val="00A253ED"/>
    <w:rsid w:val="00A32916"/>
    <w:rsid w:val="00A371DC"/>
    <w:rsid w:val="00A44E06"/>
    <w:rsid w:val="00A46FD1"/>
    <w:rsid w:val="00A5182E"/>
    <w:rsid w:val="00A52F34"/>
    <w:rsid w:val="00A55C87"/>
    <w:rsid w:val="00A60BF2"/>
    <w:rsid w:val="00A72BE6"/>
    <w:rsid w:val="00A74FBE"/>
    <w:rsid w:val="00A753CA"/>
    <w:rsid w:val="00A75DAA"/>
    <w:rsid w:val="00A87AFD"/>
    <w:rsid w:val="00A95D6B"/>
    <w:rsid w:val="00A9738F"/>
    <w:rsid w:val="00A97E86"/>
    <w:rsid w:val="00AA173A"/>
    <w:rsid w:val="00AA3CF6"/>
    <w:rsid w:val="00AB70AE"/>
    <w:rsid w:val="00AB7694"/>
    <w:rsid w:val="00AC073D"/>
    <w:rsid w:val="00AC2F0B"/>
    <w:rsid w:val="00AD3578"/>
    <w:rsid w:val="00AD3881"/>
    <w:rsid w:val="00AE1C6A"/>
    <w:rsid w:val="00AE6ECF"/>
    <w:rsid w:val="00B00ABD"/>
    <w:rsid w:val="00B03B3A"/>
    <w:rsid w:val="00B0671C"/>
    <w:rsid w:val="00B07470"/>
    <w:rsid w:val="00B1143F"/>
    <w:rsid w:val="00B12273"/>
    <w:rsid w:val="00B14832"/>
    <w:rsid w:val="00B17D7E"/>
    <w:rsid w:val="00B22ADC"/>
    <w:rsid w:val="00B23269"/>
    <w:rsid w:val="00B26CAC"/>
    <w:rsid w:val="00B466B4"/>
    <w:rsid w:val="00B529AA"/>
    <w:rsid w:val="00B637B8"/>
    <w:rsid w:val="00B65239"/>
    <w:rsid w:val="00B66643"/>
    <w:rsid w:val="00B77803"/>
    <w:rsid w:val="00B80BE0"/>
    <w:rsid w:val="00B81113"/>
    <w:rsid w:val="00B81F70"/>
    <w:rsid w:val="00B855D1"/>
    <w:rsid w:val="00BB13BB"/>
    <w:rsid w:val="00BB4F24"/>
    <w:rsid w:val="00BB5E93"/>
    <w:rsid w:val="00BC3C07"/>
    <w:rsid w:val="00BD1F55"/>
    <w:rsid w:val="00BD347D"/>
    <w:rsid w:val="00BE7763"/>
    <w:rsid w:val="00BF021F"/>
    <w:rsid w:val="00C031B4"/>
    <w:rsid w:val="00C039A2"/>
    <w:rsid w:val="00C100DB"/>
    <w:rsid w:val="00C11771"/>
    <w:rsid w:val="00C12C3E"/>
    <w:rsid w:val="00C15652"/>
    <w:rsid w:val="00C16409"/>
    <w:rsid w:val="00C16A9E"/>
    <w:rsid w:val="00C36C11"/>
    <w:rsid w:val="00C4283F"/>
    <w:rsid w:val="00C556B3"/>
    <w:rsid w:val="00C56BF3"/>
    <w:rsid w:val="00C6292D"/>
    <w:rsid w:val="00C62940"/>
    <w:rsid w:val="00C655EC"/>
    <w:rsid w:val="00C70090"/>
    <w:rsid w:val="00C714BF"/>
    <w:rsid w:val="00C72E24"/>
    <w:rsid w:val="00C73BB0"/>
    <w:rsid w:val="00C74149"/>
    <w:rsid w:val="00C7420C"/>
    <w:rsid w:val="00C919BA"/>
    <w:rsid w:val="00CB481F"/>
    <w:rsid w:val="00CD3002"/>
    <w:rsid w:val="00CD45F4"/>
    <w:rsid w:val="00CD6766"/>
    <w:rsid w:val="00CD7B04"/>
    <w:rsid w:val="00CE4583"/>
    <w:rsid w:val="00CE6D3D"/>
    <w:rsid w:val="00CF45AD"/>
    <w:rsid w:val="00D04D2C"/>
    <w:rsid w:val="00D0720A"/>
    <w:rsid w:val="00D10AA0"/>
    <w:rsid w:val="00D21E4A"/>
    <w:rsid w:val="00D247C1"/>
    <w:rsid w:val="00D2723A"/>
    <w:rsid w:val="00D340EE"/>
    <w:rsid w:val="00D3524C"/>
    <w:rsid w:val="00D42F21"/>
    <w:rsid w:val="00D4757A"/>
    <w:rsid w:val="00D83658"/>
    <w:rsid w:val="00D842CB"/>
    <w:rsid w:val="00D90228"/>
    <w:rsid w:val="00D97C29"/>
    <w:rsid w:val="00DA0A0E"/>
    <w:rsid w:val="00DB15B2"/>
    <w:rsid w:val="00DB1C32"/>
    <w:rsid w:val="00DB4381"/>
    <w:rsid w:val="00DB7379"/>
    <w:rsid w:val="00DC1F13"/>
    <w:rsid w:val="00DD3768"/>
    <w:rsid w:val="00DD63F7"/>
    <w:rsid w:val="00DD686B"/>
    <w:rsid w:val="00DD737C"/>
    <w:rsid w:val="00DE3175"/>
    <w:rsid w:val="00DF2366"/>
    <w:rsid w:val="00DF40FF"/>
    <w:rsid w:val="00DF5E90"/>
    <w:rsid w:val="00DF796D"/>
    <w:rsid w:val="00E0255E"/>
    <w:rsid w:val="00E035F0"/>
    <w:rsid w:val="00E041EB"/>
    <w:rsid w:val="00E04C3B"/>
    <w:rsid w:val="00E0726F"/>
    <w:rsid w:val="00E079AE"/>
    <w:rsid w:val="00E11475"/>
    <w:rsid w:val="00E13C4E"/>
    <w:rsid w:val="00E15A15"/>
    <w:rsid w:val="00E16CCB"/>
    <w:rsid w:val="00E17F3E"/>
    <w:rsid w:val="00E2166E"/>
    <w:rsid w:val="00E23BE9"/>
    <w:rsid w:val="00E25346"/>
    <w:rsid w:val="00E27CD0"/>
    <w:rsid w:val="00E301D1"/>
    <w:rsid w:val="00E44FB8"/>
    <w:rsid w:val="00E57106"/>
    <w:rsid w:val="00E57F15"/>
    <w:rsid w:val="00E64588"/>
    <w:rsid w:val="00E70FE8"/>
    <w:rsid w:val="00E74056"/>
    <w:rsid w:val="00E810C9"/>
    <w:rsid w:val="00E92483"/>
    <w:rsid w:val="00E94D68"/>
    <w:rsid w:val="00E963D1"/>
    <w:rsid w:val="00EA28C8"/>
    <w:rsid w:val="00EA2BD1"/>
    <w:rsid w:val="00EA31CD"/>
    <w:rsid w:val="00EA5252"/>
    <w:rsid w:val="00EB31B7"/>
    <w:rsid w:val="00EB33A8"/>
    <w:rsid w:val="00EC0FC6"/>
    <w:rsid w:val="00EC754E"/>
    <w:rsid w:val="00ED1998"/>
    <w:rsid w:val="00ED1C25"/>
    <w:rsid w:val="00ED1E83"/>
    <w:rsid w:val="00ED394A"/>
    <w:rsid w:val="00EF2803"/>
    <w:rsid w:val="00EF2D07"/>
    <w:rsid w:val="00EF3836"/>
    <w:rsid w:val="00EF4ECD"/>
    <w:rsid w:val="00EF5842"/>
    <w:rsid w:val="00EF6FDF"/>
    <w:rsid w:val="00F119CC"/>
    <w:rsid w:val="00F15D9A"/>
    <w:rsid w:val="00F332EA"/>
    <w:rsid w:val="00F36374"/>
    <w:rsid w:val="00F411F7"/>
    <w:rsid w:val="00F44644"/>
    <w:rsid w:val="00F44DB8"/>
    <w:rsid w:val="00F57CD6"/>
    <w:rsid w:val="00F62D00"/>
    <w:rsid w:val="00F64983"/>
    <w:rsid w:val="00F65575"/>
    <w:rsid w:val="00F6674C"/>
    <w:rsid w:val="00F71379"/>
    <w:rsid w:val="00F77A72"/>
    <w:rsid w:val="00F8587A"/>
    <w:rsid w:val="00F915E1"/>
    <w:rsid w:val="00F91799"/>
    <w:rsid w:val="00FA0FC7"/>
    <w:rsid w:val="00FA4285"/>
    <w:rsid w:val="00FA7A95"/>
    <w:rsid w:val="00FB4DB1"/>
    <w:rsid w:val="00FB61ED"/>
    <w:rsid w:val="00FB7734"/>
    <w:rsid w:val="00FC51B6"/>
    <w:rsid w:val="00FF3BCE"/>
    <w:rsid w:val="6CDA0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Date"/>
    <w:basedOn w:val="1"/>
    <w:next w:val="1"/>
    <w:link w:val="18"/>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rPr>
  </w:style>
  <w:style w:type="paragraph" w:customStyle="1" w:styleId="11">
    <w:name w:val="Char"/>
    <w:basedOn w:val="2"/>
    <w:autoRedefine/>
    <w:qFormat/>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12">
    <w:name w:val="文档结构图 Char"/>
    <w:basedOn w:val="9"/>
    <w:link w:val="2"/>
    <w:semiHidden/>
    <w:qFormat/>
    <w:uiPriority w:val="99"/>
    <w:rPr>
      <w:rFonts w:ascii="宋体" w:eastAsia="宋体"/>
      <w:sz w:val="18"/>
      <w:szCs w:val="18"/>
    </w:rPr>
  </w:style>
  <w:style w:type="paragraph" w:customStyle="1" w:styleId="13">
    <w:name w:val="Char1"/>
    <w:basedOn w:val="2"/>
    <w:autoRedefine/>
    <w:qFormat/>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日期 Char"/>
    <w:basedOn w:val="9"/>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25919;&#24220;&#20449;&#24687;&#20844;&#24320;&#24037;&#20316;&#24180;&#24230;&#25253;&#21578;\&#25919;&#24220;&#20449;&#24687;&#20844;&#24320;&#24037;&#20316;&#24180;&#24230;&#25253;&#21578;\2019\&#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5919;&#24220;&#20449;&#24687;&#20844;&#24320;&#24037;&#20316;&#24180;&#24230;&#25253;&#21578;\&#25919;&#24220;&#20449;&#24687;&#20844;&#24320;&#24037;&#20316;&#24180;&#24230;&#25253;&#21578;\2019\&#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5919;&#24220;&#20449;&#24687;&#20844;&#24320;&#24037;&#20316;&#24180;&#24230;&#25253;&#21578;\&#25919;&#24220;&#20449;&#24687;&#20844;&#24320;&#24037;&#20316;&#24180;&#24230;&#25253;&#21578;\2019\&#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Pt>
            <c:idx val="4"/>
            <c:bubble3D val="0"/>
          </c:dPt>
          <c:dLbls>
            <c:dLbl>
              <c:idx val="0"/>
              <c:layout>
                <c:manualLayout>
                  <c:x val="-0.0690612689513991"/>
                  <c:y val="-0.3132719262063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业务动态类</a:t>
                    </a:r>
                    <a:r>
                      <a:rPr lang="en-US" altLang="zh-CN"/>
                      <a:t> 94.37%</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173802111945309"/>
                  <c:y val="0.04253596958456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规划计划类</a:t>
                    </a:r>
                    <a:endParaRPr lang="en-US" altLang="zh-CN"/>
                  </a:p>
                  <a:p>
                    <a:pPr>
                      <a:defRPr lang="zh-CN" sz="1000" b="0" i="0" u="none" strike="noStrike" kern="1200" baseline="0">
                        <a:solidFill>
                          <a:schemeClr val="tx1"/>
                        </a:solidFill>
                        <a:latin typeface="+mn-lt"/>
                        <a:ea typeface="+mn-ea"/>
                        <a:cs typeface="+mn-cs"/>
                      </a:defRPr>
                    </a:pPr>
                    <a:r>
                      <a:rPr lang="en-US" altLang="zh-CN"/>
                      <a:t> 2.38%</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0541749186539518"/>
                  <c:y val="-0.05885986325718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法规文件类</a:t>
                    </a:r>
                    <a:endParaRPr lang="en-US" altLang="zh-CN"/>
                  </a:p>
                  <a:p>
                    <a:pPr>
                      <a:defRPr lang="zh-CN" sz="1000" b="0" i="0" u="none" strike="noStrike" kern="1200" baseline="0">
                        <a:solidFill>
                          <a:schemeClr val="tx1"/>
                        </a:solidFill>
                        <a:latin typeface="+mn-lt"/>
                        <a:ea typeface="+mn-ea"/>
                        <a:cs typeface="+mn-cs"/>
                      </a:defRPr>
                    </a:pPr>
                    <a:r>
                      <a:rPr lang="en-US" altLang="zh-CN"/>
                      <a:t> 2.16%</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0.03595396729255"/>
                  <c:y val="-0.069885727069324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行政职责类</a:t>
                    </a:r>
                    <a:endParaRPr lang="en-US" altLang="zh-CN" sz="1000" b="0" i="0" u="none" strike="noStrike" baseline="0">
                      <a:effectLst/>
                    </a:endParaRPr>
                  </a:p>
                  <a:p>
                    <a:pPr>
                      <a:defRPr lang="zh-CN" sz="1000" b="0" i="0" u="none" strike="noStrike" kern="1200" baseline="0">
                        <a:solidFill>
                          <a:schemeClr val="tx1"/>
                        </a:solidFill>
                        <a:latin typeface="+mn-lt"/>
                        <a:ea typeface="+mn-ea"/>
                        <a:cs typeface="+mn-cs"/>
                      </a:defRPr>
                    </a:pPr>
                    <a:r>
                      <a:rPr lang="en-US" altLang="zh-CN"/>
                      <a:t> 0.65%</a:t>
                    </a:r>
                    <a:endParaRPr lang="zh-CN"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0.258819883650501"/>
                  <c:y val="-0.033912110290298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sz="1000" b="0" i="0" u="none" strike="noStrike" baseline="0">
                        <a:effectLst/>
                      </a:rPr>
                      <a:t>机构职能类</a:t>
                    </a:r>
                    <a:r>
                      <a:rPr lang="zh-CN" altLang="en-US" sz="1000" b="0" i="0" u="none" strike="noStrike" baseline="0"/>
                      <a:t> </a:t>
                    </a:r>
                    <a:endParaRPr lang="en-US" altLang="zh-CN" sz="1000" b="0" i="0" u="none" strike="noStrike" baseline="0"/>
                  </a:p>
                  <a:p>
                    <a:pPr>
                      <a:defRPr lang="zh-CN" sz="1000" b="0" i="0" u="none" strike="noStrike" kern="1200" baseline="0">
                        <a:solidFill>
                          <a:schemeClr val="tx1"/>
                        </a:solidFill>
                        <a:latin typeface="+mn-lt"/>
                        <a:ea typeface="+mn-ea"/>
                        <a:cs typeface="+mn-cs"/>
                      </a:defRPr>
                    </a:pPr>
                    <a:r>
                      <a:rPr lang="en-US" altLang="en-US"/>
                      <a:t>0.43%</a:t>
                    </a:r>
                    <a:endParaRPr lang="en-US" altLang="en-US"/>
                  </a:p>
                </c:rich>
              </c:tx>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主动公开!$A$9:$A$13</c:f>
              <c:strCache>
                <c:ptCount val="5"/>
                <c:pt idx="0">
                  <c:v>业务动态类</c:v>
                </c:pt>
                <c:pt idx="1">
                  <c:v>规划计划类</c:v>
                </c:pt>
                <c:pt idx="2">
                  <c:v>法规文件类</c:v>
                </c:pt>
                <c:pt idx="3">
                  <c:v>行政职责类</c:v>
                </c:pt>
                <c:pt idx="4">
                  <c:v>机构职能类</c:v>
                </c:pt>
              </c:strCache>
            </c:strRef>
          </c:cat>
          <c:val>
            <c:numRef>
              <c:f>主动公开!$C$9:$C$13</c:f>
              <c:numCache>
                <c:formatCode>0.00%</c:formatCode>
                <c:ptCount val="5"/>
                <c:pt idx="0">
                  <c:v>0.943722943722943</c:v>
                </c:pt>
                <c:pt idx="1">
                  <c:v>0.0238095238095238</c:v>
                </c:pt>
                <c:pt idx="2">
                  <c:v>0.0216450216450217</c:v>
                </c:pt>
                <c:pt idx="3">
                  <c:v>0.0064935064935065</c:v>
                </c:pt>
                <c:pt idx="4">
                  <c:v>0.00432900432900433</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3df513d-9490-49dc-8e4d-dee477681e87}"/>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manualLayout>
                  <c:x val="-0.0722222222222223"/>
                  <c:y val="-0.30555555555555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当面申请</a:t>
                    </a:r>
                    <a:r>
                      <a:rPr lang="en-US" altLang="zh-CN"/>
                      <a:t> 93.06%</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19444663167104"/>
                  <c:y val="0.064814450277048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电子邮件</a:t>
                    </a:r>
                    <a:endParaRPr lang="en-US" altLang="zh-CN"/>
                  </a:p>
                  <a:p>
                    <a:pPr>
                      <a:defRPr lang="zh-CN" sz="1000" b="0" i="0" u="none" strike="noStrike" kern="1200" baseline="0">
                        <a:solidFill>
                          <a:schemeClr val="tx1"/>
                        </a:solidFill>
                        <a:latin typeface="+mn-lt"/>
                        <a:ea typeface="+mn-ea"/>
                        <a:cs typeface="+mn-cs"/>
                      </a:defRPr>
                    </a:pPr>
                    <a:r>
                      <a:rPr lang="en-US" altLang="zh-CN"/>
                      <a:t> 1.39%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
                  <c:y val="-0.023148148148148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传真</a:t>
                    </a:r>
                    <a:endParaRPr lang="en-US" altLang="zh-CN"/>
                  </a:p>
                  <a:p>
                    <a:pPr>
                      <a:defRPr lang="zh-CN" sz="1000" b="0" i="0" u="none" strike="noStrike" kern="1200" baseline="0">
                        <a:solidFill>
                          <a:schemeClr val="tx1"/>
                        </a:solidFill>
                        <a:latin typeface="+mn-lt"/>
                        <a:ea typeface="+mn-ea"/>
                        <a:cs typeface="+mn-cs"/>
                      </a:defRPr>
                    </a:pPr>
                    <a:r>
                      <a:rPr lang="en-US" altLang="zh-CN"/>
                      <a:t> 1.39%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66666666666667"/>
                  <c:y val="-0.03703703703703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信函</a:t>
                    </a:r>
                    <a:endParaRPr lang="en-US" altLang="zh-CN"/>
                  </a:p>
                  <a:p>
                    <a:pPr>
                      <a:defRPr lang="zh-CN" sz="1000" b="0" i="0" u="none" strike="noStrike" kern="1200" baseline="0">
                        <a:solidFill>
                          <a:schemeClr val="tx1"/>
                        </a:solidFill>
                        <a:latin typeface="+mn-lt"/>
                        <a:ea typeface="+mn-ea"/>
                        <a:cs typeface="+mn-cs"/>
                      </a:defRPr>
                    </a:pPr>
                    <a:r>
                      <a:rPr lang="en-US" altLang="zh-CN"/>
                      <a:t> 4.17%</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依申请!$A$2:$A$5</c:f>
              <c:strCache>
                <c:ptCount val="4"/>
                <c:pt idx="0">
                  <c:v>当面申请</c:v>
                </c:pt>
                <c:pt idx="1">
                  <c:v>电子邮件</c:v>
                </c:pt>
                <c:pt idx="2">
                  <c:v>传真</c:v>
                </c:pt>
                <c:pt idx="3">
                  <c:v>信函</c:v>
                </c:pt>
              </c:strCache>
            </c:strRef>
          </c:cat>
          <c:val>
            <c:numRef>
              <c:f>依申请!$C$2:$C$5</c:f>
              <c:numCache>
                <c:formatCode>0.00%</c:formatCode>
                <c:ptCount val="4"/>
                <c:pt idx="0">
                  <c:v>0.930555555555556</c:v>
                </c:pt>
                <c:pt idx="1">
                  <c:v>0.0138888888888889</c:v>
                </c:pt>
                <c:pt idx="2">
                  <c:v>0.0138888888888889</c:v>
                </c:pt>
                <c:pt idx="3">
                  <c:v>0.0416666666666667</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ad81e81-ae20-478e-ae2d-a618bcb36bc2}"/>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Pt>
            <c:idx val="2"/>
            <c:bubble3D val="0"/>
          </c:dPt>
          <c:dPt>
            <c:idx val="3"/>
            <c:bubble3D val="0"/>
          </c:dPt>
          <c:dLbls>
            <c:dLbl>
              <c:idx val="0"/>
              <c:layout>
                <c:manualLayout>
                  <c:x val="-0.175"/>
                  <c:y val="-0.2268518518518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予以公开</a:t>
                    </a:r>
                    <a:r>
                      <a:rPr lang="en-US" altLang="zh-CN"/>
                      <a:t>78.57%</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166666666666667"/>
                  <c:y val="-0.04629629629629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信息不存在</a:t>
                    </a:r>
                    <a:r>
                      <a:rPr lang="en-US" altLang="zh-CN"/>
                      <a:t> 19.05%</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00833333333333334"/>
                  <c:y val="-0.046296296296296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信访类申请</a:t>
                    </a:r>
                    <a:r>
                      <a:rPr lang="en-US" altLang="zh-CN"/>
                      <a:t> 1.19%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3"/>
              <c:layout>
                <c:manualLayout>
                  <c:x val="0.161111111111111"/>
                  <c:y val="-0.032407407407407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其他处理</a:t>
                    </a:r>
                    <a:r>
                      <a:rPr lang="en-US" altLang="zh-CN"/>
                      <a:t> 1.19%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依申请答复!$A$1:$A$4</c:f>
              <c:strCache>
                <c:ptCount val="4"/>
                <c:pt idx="0">
                  <c:v>予以公开</c:v>
                </c:pt>
                <c:pt idx="1">
                  <c:v>信息不存在</c:v>
                </c:pt>
                <c:pt idx="2">
                  <c:v>信访类申请</c:v>
                </c:pt>
                <c:pt idx="3">
                  <c:v>其他处理</c:v>
                </c:pt>
              </c:strCache>
            </c:strRef>
          </c:cat>
          <c:val>
            <c:numRef>
              <c:f>依申请答复!$C$1:$C$4</c:f>
              <c:numCache>
                <c:formatCode>0.00%</c:formatCode>
                <c:ptCount val="4"/>
                <c:pt idx="0">
                  <c:v>0.785714285714286</c:v>
                </c:pt>
                <c:pt idx="1">
                  <c:v>0.190476190476191</c:v>
                </c:pt>
                <c:pt idx="2">
                  <c:v>0.0119047619047619</c:v>
                </c:pt>
                <c:pt idx="3">
                  <c:v>0.0119047619047619</c:v>
                </c:pt>
              </c:numCache>
            </c:numRef>
          </c:val>
        </c:ser>
        <c:dLbls>
          <c:showLegendKey val="0"/>
          <c:showVal val="1"/>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e3c4adcf-c3d9-49ad-acb1-3c4a6e0835b7}"/>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37AAA-1AE8-4152-B7E7-0B8BE058BD67}">
  <ds:schemaRefs/>
</ds:datastoreItem>
</file>

<file path=docProps/app.xml><?xml version="1.0" encoding="utf-8"?>
<Properties xmlns="http://schemas.openxmlformats.org/officeDocument/2006/extended-properties" xmlns:vt="http://schemas.openxmlformats.org/officeDocument/2006/docPropsVTypes">
  <Template>Normal</Template>
  <Pages>13</Pages>
  <Words>4774</Words>
  <Characters>5026</Characters>
  <Lines>46</Lines>
  <Paragraphs>13</Paragraphs>
  <TotalTime>16</TotalTime>
  <ScaleCrop>false</ScaleCrop>
  <LinksUpToDate>false</LinksUpToDate>
  <CharactersWithSpaces>5031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2020-01-09T06:14:00Z</dcterms:created>
  <dc:creator>张丽华</dc:creator>
  <cp:lastModifiedBy>ZzZShuo</cp:lastModifiedBy>
  <cp:lastPrinted>2020-01-07T10:57:00Z</cp:lastPrinted>
  <dcterms:modified xsi:type="dcterms:W3CDTF">2025-10-17T09:10:21Z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eyJoZGlkIjoiNGQwMmQ0OTQ0NWY3MWY1N2Y3NmQ1ZjQzZWYwNGQ2MWQiLCJ1c2VySWQiOiIzMTg0MjUzNjEifQ==</vt:lpwstr>
  </property>
  <property fmtid="{D5CDD505-2E9C-101B-9397-08002B2CF9AE}" pid="3" name="KSOProductBuildVer">
    <vt:lpwstr>2052-12.1.0.22529</vt:lpwstr>
  </property>
  <property fmtid="{D5CDD505-2E9C-101B-9397-08002B2CF9AE}" pid="4" name="ICV">
    <vt:lpwstr>09C29E66FD174A6D95C3432D2109E6B5_12</vt:lpwstr>
  </property>
</Properties>
</file>