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firstLine="638" w:firstLineChars="145"/>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38" w:firstLineChars="145"/>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丰台区发展和改革委员会</w:t>
      </w:r>
    </w:p>
    <w:p>
      <w:pPr>
        <w:keepNext w:val="0"/>
        <w:keepLines w:val="0"/>
        <w:pageBreakBefore w:val="0"/>
        <w:widowControl/>
        <w:kinsoku/>
        <w:wordWrap/>
        <w:overflowPunct/>
        <w:topLinePunct w:val="0"/>
        <w:autoSpaceDE/>
        <w:autoSpaceDN/>
        <w:bidi w:val="0"/>
        <w:adjustRightInd/>
        <w:snapToGrid/>
        <w:spacing w:line="560" w:lineRule="exact"/>
        <w:ind w:left="0" w:leftChars="0" w:firstLine="638" w:firstLineChars="145"/>
        <w:jc w:val="center"/>
        <w:textAlignment w:val="auto"/>
        <w:rPr>
          <w:rFonts w:hint="eastAsia" w:ascii="方正小标宋简体" w:hAnsi="方正小标宋简体" w:eastAsia="方正小标宋简体" w:cs="方正小标宋简体"/>
          <w:sz w:val="44"/>
          <w:szCs w:val="44"/>
          <w:highlight w:val="none"/>
          <w:lang w:eastAsia="zh-CN"/>
        </w:rPr>
      </w:pPr>
      <w:bookmarkStart w:id="0" w:name="_GoBack"/>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bookmarkEnd w:id="0"/>
    </w:p>
    <w:p>
      <w:pPr>
        <w:keepNext w:val="0"/>
        <w:keepLines w:val="0"/>
        <w:pageBreakBefore w:val="0"/>
        <w:widowControl/>
        <w:kinsoku/>
        <w:wordWrap/>
        <w:overflowPunct/>
        <w:topLinePunct w:val="0"/>
        <w:autoSpaceDE/>
        <w:autoSpaceDN/>
        <w:bidi w:val="0"/>
        <w:adjustRightInd/>
        <w:snapToGrid/>
        <w:spacing w:line="560" w:lineRule="exact"/>
        <w:ind w:left="0" w:leftChars="0" w:firstLine="464" w:firstLineChars="145"/>
        <w:jc w:val="left"/>
        <w:textAlignment w:val="auto"/>
        <w:rPr>
          <w:rFonts w:ascii="微软雅黑" w:hAnsi="微软雅黑" w:eastAsia="微软雅黑" w:cs="宋体"/>
          <w:color w:val="40404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firstLine="823" w:firstLineChars="24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823" w:firstLineChars="245"/>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823" w:firstLineChars="24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w:t>
      </w:r>
      <w:r>
        <w:rPr>
          <w:rFonts w:hint="eastAsia" w:ascii="仿宋_GB2312" w:hAnsi="宋体" w:eastAsia="仿宋_GB2312" w:cs="宋体"/>
          <w:spacing w:val="8"/>
          <w:kern w:val="0"/>
          <w:sz w:val="32"/>
          <w:szCs w:val="32"/>
          <w:lang w:eastAsia="zh-CN"/>
        </w:rPr>
        <w:t>区</w:t>
      </w:r>
      <w:r>
        <w:rPr>
          <w:rFonts w:hint="eastAsia" w:ascii="仿宋_GB2312" w:hAnsi="宋体" w:eastAsia="仿宋_GB2312" w:cs="宋体"/>
          <w:spacing w:val="8"/>
          <w:kern w:val="0"/>
          <w:sz w:val="32"/>
          <w:szCs w:val="32"/>
        </w:rPr>
        <w:t>发展改革委</w:t>
      </w:r>
      <w:r>
        <w:rPr>
          <w:rFonts w:hint="eastAsia" w:ascii="仿宋_GB2312" w:hAnsi="宋体" w:eastAsia="仿宋_GB2312" w:cs="宋体"/>
          <w:spacing w:val="8"/>
          <w:kern w:val="0"/>
          <w:sz w:val="32"/>
          <w:szCs w:val="32"/>
          <w:highlight w:val="none"/>
          <w:lang w:eastAsia="zh-CN"/>
        </w:rPr>
        <w:t>深入落实</w:t>
      </w:r>
      <w:r>
        <w:rPr>
          <w:rFonts w:hint="eastAsia" w:ascii="仿宋_GB2312" w:hAnsi="宋体" w:eastAsia="仿宋_GB2312" w:cs="宋体"/>
          <w:spacing w:val="8"/>
          <w:kern w:val="0"/>
          <w:sz w:val="32"/>
          <w:szCs w:val="32"/>
          <w:highlight w:val="none"/>
        </w:rPr>
        <w:t>《信息公开条例》</w:t>
      </w:r>
      <w:r>
        <w:rPr>
          <w:rFonts w:hint="eastAsia" w:ascii="仿宋_GB2312" w:hAnsi="宋体" w:eastAsia="仿宋_GB2312" w:cs="宋体"/>
          <w:spacing w:val="8"/>
          <w:kern w:val="0"/>
          <w:sz w:val="32"/>
          <w:szCs w:val="32"/>
          <w:highlight w:val="none"/>
          <w:lang w:eastAsia="zh-CN"/>
        </w:rPr>
        <w:t>和</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eastAsia="zh-CN"/>
        </w:rPr>
        <w:t>丰台区</w:t>
      </w:r>
      <w:r>
        <w:rPr>
          <w:rFonts w:hint="eastAsia" w:ascii="仿宋_GB2312" w:hAnsi="宋体" w:eastAsia="仿宋_GB2312" w:cs="宋体"/>
          <w:spacing w:val="8"/>
          <w:kern w:val="0"/>
          <w:sz w:val="32"/>
          <w:szCs w:val="32"/>
          <w:highlight w:val="none"/>
        </w:rPr>
        <w:t>202</w:t>
      </w:r>
      <w:r>
        <w:rPr>
          <w:rFonts w:hint="eastAsia" w:ascii="仿宋_GB2312" w:hAnsi="宋体" w:eastAsia="仿宋_GB2312" w:cs="宋体"/>
          <w:spacing w:val="8"/>
          <w:kern w:val="0"/>
          <w:sz w:val="32"/>
          <w:szCs w:val="32"/>
          <w:highlight w:val="none"/>
          <w:lang w:val="en-US" w:eastAsia="zh-CN"/>
        </w:rPr>
        <w:t>2</w:t>
      </w:r>
      <w:r>
        <w:rPr>
          <w:rFonts w:hint="eastAsia" w:ascii="仿宋_GB2312" w:hAnsi="宋体" w:eastAsia="仿宋_GB2312" w:cs="宋体"/>
          <w:spacing w:val="8"/>
          <w:kern w:val="0"/>
          <w:sz w:val="32"/>
          <w:szCs w:val="32"/>
          <w:highlight w:val="none"/>
        </w:rPr>
        <w:t>年政务公开工作要点》</w:t>
      </w:r>
      <w:r>
        <w:rPr>
          <w:rFonts w:hint="eastAsia" w:ascii="仿宋_GB2312" w:hAnsi="宋体" w:eastAsia="仿宋_GB2312" w:cs="宋体"/>
          <w:spacing w:val="8"/>
          <w:kern w:val="0"/>
          <w:sz w:val="32"/>
          <w:szCs w:val="32"/>
          <w:highlight w:val="none"/>
          <w:lang w:eastAsia="zh-CN"/>
        </w:rPr>
        <w:t>精神</w:t>
      </w:r>
      <w:r>
        <w:rPr>
          <w:rFonts w:hint="eastAsia" w:ascii="仿宋_GB2312" w:hAnsi="宋体" w:eastAsia="仿宋_GB2312" w:cs="宋体"/>
          <w:spacing w:val="8"/>
          <w:kern w:val="0"/>
          <w:sz w:val="32"/>
          <w:szCs w:val="32"/>
          <w:highlight w:val="none"/>
          <w:lang w:val="en-US" w:eastAsia="zh-CN"/>
        </w:rPr>
        <w:t>,</w:t>
      </w:r>
      <w:r>
        <w:rPr>
          <w:rFonts w:hint="eastAsia" w:ascii="仿宋_GB2312" w:hAnsi="宋体" w:eastAsia="仿宋_GB2312" w:cs="宋体"/>
          <w:spacing w:val="8"/>
          <w:kern w:val="0"/>
          <w:sz w:val="32"/>
          <w:szCs w:val="32"/>
        </w:rPr>
        <w:t>按照“以公开为原则，不公开为例外”的总体要求，进一步健全完善</w:t>
      </w:r>
      <w:r>
        <w:rPr>
          <w:rFonts w:hint="eastAsia" w:ascii="仿宋_GB2312" w:hAnsi="Calibri" w:eastAsia="仿宋_GB2312" w:cs="Calibri"/>
          <w:color w:val="000000"/>
          <w:kern w:val="0"/>
          <w:sz w:val="32"/>
          <w:szCs w:val="32"/>
        </w:rPr>
        <w:t>信息公开工作协调机制</w:t>
      </w:r>
      <w:r>
        <w:rPr>
          <w:rFonts w:hint="eastAsia" w:ascii="仿宋_GB2312" w:hAnsi="宋体" w:eastAsia="仿宋_GB2312" w:cs="宋体"/>
          <w:spacing w:val="8"/>
          <w:kern w:val="0"/>
          <w:sz w:val="32"/>
          <w:szCs w:val="32"/>
        </w:rPr>
        <w:t>，规范公开流程，丰富形式载体，确保信息公开重点工作稳步推进。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both"/>
        <w:textAlignment w:val="auto"/>
        <w:rPr>
          <w:rFonts w:ascii="Calibri" w:hAnsi="Calibri" w:eastAsia="宋体" w:cs="Calibri"/>
          <w:color w:val="000000"/>
          <w:kern w:val="0"/>
          <w:sz w:val="32"/>
          <w:szCs w:val="32"/>
          <w:shd w:val="clear" w:color="auto" w:fill="auto"/>
        </w:rPr>
      </w:pPr>
      <w:r>
        <w:rPr>
          <w:rFonts w:hint="eastAsia" w:ascii="楷体_GB2312" w:hAnsi="楷体_GB2312" w:eastAsia="楷体_GB2312" w:cs="楷体_GB2312"/>
          <w:color w:val="000000"/>
          <w:kern w:val="0"/>
          <w:sz w:val="32"/>
          <w:szCs w:val="32"/>
          <w:shd w:val="clear" w:color="auto" w:fill="auto"/>
          <w:lang w:eastAsia="zh-CN"/>
        </w:rPr>
        <w:t>（一）</w:t>
      </w:r>
      <w:r>
        <w:rPr>
          <w:rFonts w:hint="eastAsia" w:ascii="楷体_GB2312" w:hAnsi="楷体_GB2312" w:eastAsia="楷体_GB2312" w:cs="楷体_GB2312"/>
          <w:color w:val="000000"/>
          <w:kern w:val="0"/>
          <w:sz w:val="32"/>
          <w:szCs w:val="32"/>
          <w:shd w:val="clear" w:color="auto" w:fill="auto"/>
        </w:rPr>
        <w:t>加强组织领导，</w:t>
      </w:r>
      <w:r>
        <w:rPr>
          <w:rFonts w:hint="eastAsia" w:ascii="楷体_GB2312" w:hAnsi="楷体_GB2312" w:eastAsia="楷体_GB2312" w:cs="楷体_GB2312"/>
          <w:color w:val="000000"/>
          <w:kern w:val="0"/>
          <w:sz w:val="32"/>
          <w:szCs w:val="32"/>
          <w:shd w:val="clear" w:color="auto" w:fill="auto"/>
          <w:lang w:eastAsia="zh-CN"/>
        </w:rPr>
        <w:t>确保公开质量。</w:t>
      </w:r>
      <w:r>
        <w:rPr>
          <w:rFonts w:hint="eastAsia" w:ascii="仿宋_GB2312" w:hAnsi="Calibri" w:eastAsia="仿宋_GB2312" w:cs="Calibri"/>
          <w:color w:val="000000"/>
          <w:kern w:val="0"/>
          <w:sz w:val="32"/>
          <w:szCs w:val="32"/>
          <w:shd w:val="clear" w:color="auto" w:fill="auto"/>
        </w:rPr>
        <w:t>我委高度重视政务公开工作，严格</w:t>
      </w:r>
      <w:r>
        <w:rPr>
          <w:rFonts w:hint="eastAsia" w:ascii="仿宋_GB2312" w:eastAsia="仿宋_GB2312" w:cs="Calibri"/>
          <w:color w:val="000000"/>
          <w:kern w:val="0"/>
          <w:sz w:val="32"/>
          <w:szCs w:val="32"/>
          <w:shd w:val="clear" w:color="auto" w:fill="auto"/>
          <w:lang w:eastAsia="zh-CN"/>
        </w:rPr>
        <w:t>遵守</w:t>
      </w:r>
      <w:r>
        <w:rPr>
          <w:rFonts w:hint="eastAsia" w:ascii="仿宋_GB2312" w:hAnsi="Calibri" w:eastAsia="仿宋_GB2312" w:cs="Calibri"/>
          <w:color w:val="000000"/>
          <w:kern w:val="0"/>
          <w:sz w:val="32"/>
          <w:szCs w:val="32"/>
          <w:shd w:val="clear" w:color="auto" w:fill="auto"/>
        </w:rPr>
        <w:t>信息把关、</w:t>
      </w:r>
      <w:r>
        <w:rPr>
          <w:rFonts w:hint="eastAsia" w:ascii="仿宋_GB2312" w:eastAsia="仿宋_GB2312" w:cs="Calibri"/>
          <w:color w:val="000000"/>
          <w:kern w:val="0"/>
          <w:sz w:val="32"/>
          <w:szCs w:val="32"/>
          <w:shd w:val="clear" w:color="auto" w:fill="auto"/>
          <w:lang w:eastAsia="zh-CN"/>
        </w:rPr>
        <w:t>意识形态</w:t>
      </w:r>
      <w:r>
        <w:rPr>
          <w:rFonts w:hint="eastAsia" w:ascii="仿宋_GB2312" w:hAnsi="Calibri" w:eastAsia="仿宋_GB2312" w:cs="Calibri"/>
          <w:color w:val="000000"/>
          <w:kern w:val="0"/>
          <w:sz w:val="32"/>
          <w:szCs w:val="32"/>
          <w:shd w:val="clear" w:color="auto" w:fill="auto"/>
        </w:rPr>
        <w:t>审查</w:t>
      </w:r>
      <w:r>
        <w:rPr>
          <w:rFonts w:hint="eastAsia" w:ascii="仿宋_GB2312" w:eastAsia="仿宋_GB2312" w:cs="Calibri"/>
          <w:color w:val="000000"/>
          <w:kern w:val="0"/>
          <w:sz w:val="32"/>
          <w:szCs w:val="32"/>
          <w:shd w:val="clear" w:color="auto" w:fill="auto"/>
          <w:lang w:eastAsia="zh-CN"/>
        </w:rPr>
        <w:t>、</w:t>
      </w:r>
      <w:r>
        <w:rPr>
          <w:rFonts w:hint="eastAsia" w:ascii="仿宋_GB2312" w:hAnsi="Calibri" w:eastAsia="仿宋_GB2312" w:cs="Calibri"/>
          <w:color w:val="000000"/>
          <w:kern w:val="0"/>
          <w:sz w:val="32"/>
          <w:szCs w:val="32"/>
          <w:shd w:val="clear" w:color="auto" w:fill="auto"/>
        </w:rPr>
        <w:t>涉密</w:t>
      </w:r>
      <w:r>
        <w:rPr>
          <w:rFonts w:hint="eastAsia" w:ascii="仿宋_GB2312" w:eastAsia="仿宋_GB2312" w:cs="Calibri"/>
          <w:color w:val="000000"/>
          <w:kern w:val="0"/>
          <w:sz w:val="32"/>
          <w:szCs w:val="32"/>
          <w:shd w:val="clear" w:color="auto" w:fill="auto"/>
          <w:lang w:eastAsia="zh-CN"/>
        </w:rPr>
        <w:t>双</w:t>
      </w:r>
      <w:r>
        <w:rPr>
          <w:rFonts w:hint="eastAsia" w:ascii="仿宋_GB2312" w:hAnsi="Calibri" w:eastAsia="仿宋_GB2312" w:cs="Calibri"/>
          <w:color w:val="000000"/>
          <w:kern w:val="0"/>
          <w:sz w:val="32"/>
          <w:szCs w:val="32"/>
          <w:shd w:val="clear" w:color="auto" w:fill="auto"/>
        </w:rPr>
        <w:t>审查等制度，保障信息公开工作</w:t>
      </w:r>
      <w:r>
        <w:rPr>
          <w:rFonts w:hint="eastAsia" w:ascii="仿宋_GB2312" w:eastAsia="仿宋_GB2312" w:cs="Calibri"/>
          <w:color w:val="000000"/>
          <w:kern w:val="0"/>
          <w:sz w:val="32"/>
          <w:szCs w:val="32"/>
          <w:shd w:val="clear" w:color="auto" w:fill="auto"/>
          <w:lang w:eastAsia="zh-CN"/>
        </w:rPr>
        <w:t>规范</w:t>
      </w:r>
      <w:r>
        <w:rPr>
          <w:rFonts w:hint="eastAsia" w:ascii="仿宋_GB2312" w:hAnsi="Calibri" w:eastAsia="仿宋_GB2312" w:cs="Calibri"/>
          <w:color w:val="000000"/>
          <w:kern w:val="0"/>
          <w:sz w:val="32"/>
          <w:szCs w:val="32"/>
          <w:shd w:val="clear" w:color="auto" w:fill="auto"/>
        </w:rPr>
        <w:t>性、</w:t>
      </w:r>
      <w:r>
        <w:rPr>
          <w:rFonts w:hint="eastAsia" w:ascii="仿宋_GB2312" w:eastAsia="仿宋_GB2312" w:cs="Calibri"/>
          <w:color w:val="000000"/>
          <w:kern w:val="0"/>
          <w:sz w:val="32"/>
          <w:szCs w:val="32"/>
          <w:shd w:val="clear" w:color="auto" w:fill="auto"/>
          <w:lang w:eastAsia="zh-CN"/>
        </w:rPr>
        <w:t>时效</w:t>
      </w:r>
      <w:r>
        <w:rPr>
          <w:rFonts w:hint="eastAsia" w:ascii="仿宋_GB2312" w:hAnsi="Calibri" w:eastAsia="仿宋_GB2312" w:cs="Calibri"/>
          <w:color w:val="000000"/>
          <w:kern w:val="0"/>
          <w:sz w:val="32"/>
          <w:szCs w:val="32"/>
          <w:shd w:val="clear" w:color="auto" w:fill="auto"/>
        </w:rPr>
        <w:t>性</w:t>
      </w:r>
      <w:r>
        <w:rPr>
          <w:rFonts w:hint="eastAsia" w:ascii="仿宋_GB2312" w:eastAsia="仿宋_GB2312" w:cs="Calibri"/>
          <w:color w:val="000000"/>
          <w:kern w:val="0"/>
          <w:sz w:val="32"/>
          <w:szCs w:val="32"/>
          <w:shd w:val="clear" w:color="auto" w:fill="auto"/>
          <w:lang w:eastAsia="zh-CN"/>
        </w:rPr>
        <w:t>和全面性</w:t>
      </w:r>
      <w:r>
        <w:rPr>
          <w:rFonts w:hint="eastAsia" w:ascii="仿宋_GB2312" w:hAnsi="Calibri" w:eastAsia="仿宋_GB2312" w:cs="Calibri"/>
          <w:color w:val="000000"/>
          <w:kern w:val="0"/>
          <w:sz w:val="32"/>
          <w:szCs w:val="32"/>
          <w:shd w:val="clear" w:color="auto" w:fill="auto"/>
        </w:rPr>
        <w:t>。</w:t>
      </w:r>
      <w:r>
        <w:rPr>
          <w:rFonts w:hint="eastAsia" w:ascii="仿宋_GB2312" w:eastAsia="仿宋_GB2312" w:cs="Calibri"/>
          <w:color w:val="000000"/>
          <w:kern w:val="0"/>
          <w:sz w:val="32"/>
          <w:szCs w:val="32"/>
          <w:shd w:val="clear" w:color="auto" w:fill="auto"/>
          <w:lang w:eastAsia="zh-CN"/>
        </w:rPr>
        <w:t>截至目前，我委主动公开工作</w:t>
      </w:r>
      <w:r>
        <w:rPr>
          <w:rFonts w:hint="eastAsia" w:ascii="仿宋_GB2312" w:hAnsi="Calibri" w:eastAsia="仿宋_GB2312" w:cs="Calibri"/>
          <w:color w:val="000000"/>
          <w:kern w:val="0"/>
          <w:sz w:val="32"/>
          <w:szCs w:val="32"/>
          <w:shd w:val="clear" w:color="auto" w:fill="auto"/>
        </w:rPr>
        <w:t>动态</w:t>
      </w:r>
      <w:r>
        <w:rPr>
          <w:rFonts w:hint="eastAsia" w:ascii="仿宋_GB2312" w:eastAsia="仿宋_GB2312" w:cs="Calibri"/>
          <w:color w:val="000000"/>
          <w:kern w:val="0"/>
          <w:sz w:val="32"/>
          <w:szCs w:val="32"/>
          <w:shd w:val="clear" w:color="auto" w:fill="auto"/>
          <w:lang w:eastAsia="zh-CN"/>
        </w:rPr>
        <w:t>类</w:t>
      </w:r>
      <w:r>
        <w:rPr>
          <w:rFonts w:hint="eastAsia" w:ascii="仿宋_GB2312" w:eastAsia="仿宋_GB2312" w:cs="Calibri"/>
          <w:color w:val="000000"/>
          <w:kern w:val="0"/>
          <w:sz w:val="32"/>
          <w:szCs w:val="32"/>
          <w:shd w:val="clear" w:color="auto" w:fill="auto"/>
          <w:lang w:val="en-US" w:eastAsia="zh-CN"/>
        </w:rPr>
        <w:t>和</w:t>
      </w:r>
      <w:r>
        <w:rPr>
          <w:rFonts w:hint="eastAsia" w:ascii="仿宋_GB2312" w:hAnsi="Calibri" w:eastAsia="仿宋_GB2312" w:cs="Calibri"/>
          <w:color w:val="000000"/>
          <w:kern w:val="0"/>
          <w:sz w:val="32"/>
          <w:szCs w:val="32"/>
          <w:shd w:val="clear" w:color="auto" w:fill="auto"/>
        </w:rPr>
        <w:t>需公示项目</w:t>
      </w:r>
      <w:r>
        <w:rPr>
          <w:rFonts w:hint="eastAsia" w:ascii="仿宋_GB2312" w:eastAsia="仿宋_GB2312" w:cs="Calibri"/>
          <w:color w:val="000000"/>
          <w:kern w:val="0"/>
          <w:sz w:val="32"/>
          <w:szCs w:val="32"/>
          <w:shd w:val="clear" w:color="auto" w:fill="auto"/>
          <w:lang w:eastAsia="zh-CN"/>
        </w:rPr>
        <w:t>类信息</w:t>
      </w:r>
      <w:r>
        <w:rPr>
          <w:rFonts w:hint="eastAsia" w:ascii="仿宋_GB2312" w:eastAsia="仿宋_GB2312" w:cs="Calibri"/>
          <w:color w:val="000000"/>
          <w:kern w:val="0"/>
          <w:sz w:val="32"/>
          <w:szCs w:val="32"/>
          <w:shd w:val="clear" w:color="auto" w:fill="auto"/>
          <w:lang w:val="en-US" w:eastAsia="zh-CN"/>
        </w:rPr>
        <w:t>92篇</w:t>
      </w:r>
      <w:r>
        <w:rPr>
          <w:rFonts w:hint="eastAsia" w:ascii="仿宋_GB2312" w:eastAsia="仿宋_GB2312" w:cs="Calibri"/>
          <w:color w:val="000000"/>
          <w:kern w:val="0"/>
          <w:sz w:val="32"/>
          <w:szCs w:val="32"/>
          <w:shd w:val="clear" w:color="auto" w:fill="auto"/>
          <w:lang w:eastAsia="zh-CN"/>
        </w:rPr>
        <w:t>，牵头组织开设专题专栏</w:t>
      </w:r>
      <w:r>
        <w:rPr>
          <w:rFonts w:hint="eastAsia" w:ascii="仿宋_GB2312" w:eastAsia="仿宋_GB2312" w:cs="Calibri"/>
          <w:color w:val="000000"/>
          <w:kern w:val="0"/>
          <w:sz w:val="32"/>
          <w:szCs w:val="32"/>
          <w:shd w:val="clear" w:color="auto" w:fill="auto"/>
          <w:lang w:val="en-US" w:eastAsia="zh-CN"/>
        </w:rPr>
        <w:t>2个</w:t>
      </w:r>
      <w:r>
        <w:rPr>
          <w:rFonts w:hint="eastAsia" w:ascii="仿宋_GB2312" w:eastAsia="仿宋_GB2312" w:cs="Calibri"/>
          <w:color w:val="000000"/>
          <w:kern w:val="0"/>
          <w:sz w:val="32"/>
          <w:szCs w:val="32"/>
          <w:shd w:val="clear" w:color="auto" w:fill="auto"/>
          <w:lang w:eastAsia="zh-CN"/>
        </w:rPr>
        <w:t>，其中涉</w:t>
      </w:r>
      <w:r>
        <w:rPr>
          <w:rFonts w:hint="eastAsia" w:ascii="仿宋_GB2312" w:hAnsi="Calibri" w:eastAsia="仿宋_GB2312" w:cs="Calibri"/>
          <w:color w:val="000000"/>
          <w:kern w:val="0"/>
          <w:sz w:val="32"/>
          <w:szCs w:val="32"/>
          <w:shd w:val="clear" w:color="auto" w:fill="auto"/>
          <w:lang w:eastAsia="zh-CN"/>
        </w:rPr>
        <w:t>及</w:t>
      </w:r>
      <w:r>
        <w:rPr>
          <w:rFonts w:hint="eastAsia" w:ascii="仿宋_GB2312" w:eastAsia="仿宋_GB2312" w:cs="Calibri"/>
          <w:color w:val="000000"/>
          <w:kern w:val="0"/>
          <w:sz w:val="32"/>
          <w:szCs w:val="32"/>
          <w:shd w:val="clear" w:color="auto" w:fill="auto"/>
          <w:lang w:eastAsia="zh-CN"/>
        </w:rPr>
        <w:t>助企疏困</w:t>
      </w:r>
      <w:r>
        <w:rPr>
          <w:rFonts w:hint="eastAsia" w:ascii="仿宋_GB2312" w:hAnsi="Calibri" w:eastAsia="仿宋_GB2312" w:cs="Calibri"/>
          <w:color w:val="000000"/>
          <w:kern w:val="0"/>
          <w:sz w:val="32"/>
          <w:szCs w:val="32"/>
          <w:shd w:val="clear" w:color="auto" w:fill="auto"/>
          <w:lang w:eastAsia="zh-CN"/>
        </w:rPr>
        <w:t>和优化营商环境等</w:t>
      </w:r>
      <w:r>
        <w:rPr>
          <w:rFonts w:hint="eastAsia" w:ascii="仿宋_GB2312" w:eastAsia="仿宋_GB2312"/>
          <w:sz w:val="32"/>
          <w:szCs w:val="32"/>
          <w:shd w:val="clear" w:color="auto" w:fill="auto"/>
        </w:rPr>
        <w:t>相关</w:t>
      </w:r>
      <w:r>
        <w:rPr>
          <w:rFonts w:hint="eastAsia" w:ascii="仿宋_GB2312" w:eastAsia="仿宋_GB2312"/>
          <w:sz w:val="32"/>
          <w:szCs w:val="32"/>
          <w:shd w:val="clear" w:color="auto" w:fill="auto"/>
          <w:lang w:eastAsia="zh-CN"/>
        </w:rPr>
        <w:t>工作动态和政策</w:t>
      </w:r>
      <w:r>
        <w:rPr>
          <w:rFonts w:hint="eastAsia" w:ascii="仿宋_GB2312" w:eastAsia="仿宋_GB2312"/>
          <w:sz w:val="32"/>
          <w:szCs w:val="32"/>
          <w:shd w:val="clear" w:color="auto" w:fill="auto"/>
        </w:rPr>
        <w:t>信息</w:t>
      </w:r>
      <w:r>
        <w:rPr>
          <w:rFonts w:hint="eastAsia" w:ascii="仿宋_GB2312" w:eastAsia="仿宋_GB2312"/>
          <w:sz w:val="32"/>
          <w:szCs w:val="32"/>
          <w:shd w:val="clear" w:color="auto" w:fill="auto"/>
          <w:lang w:val="en-US" w:eastAsia="zh-CN"/>
        </w:rPr>
        <w:t>150篇</w:t>
      </w:r>
      <w:r>
        <w:rPr>
          <w:rFonts w:hint="eastAsia" w:ascii="仿宋_GB2312" w:eastAsia="仿宋_GB2312"/>
          <w:sz w:val="32"/>
          <w:szCs w:val="32"/>
          <w:shd w:val="clear" w:color="auto" w:fill="auto"/>
          <w:lang w:eastAsia="zh-CN"/>
        </w:rPr>
        <w:t>，以上政务信息均已</w:t>
      </w:r>
      <w:r>
        <w:rPr>
          <w:rFonts w:hint="eastAsia" w:ascii="仿宋_GB2312" w:hAnsi="Calibri" w:eastAsia="仿宋_GB2312" w:cs="Calibri"/>
          <w:color w:val="000000"/>
          <w:kern w:val="0"/>
          <w:sz w:val="32"/>
          <w:szCs w:val="32"/>
          <w:shd w:val="clear" w:color="auto" w:fill="auto"/>
        </w:rPr>
        <w:t>严格按照</w:t>
      </w:r>
      <w:r>
        <w:rPr>
          <w:rFonts w:hint="eastAsia" w:ascii="仿宋_GB2312" w:eastAsia="仿宋_GB2312" w:cs="Calibri"/>
          <w:color w:val="000000"/>
          <w:kern w:val="0"/>
          <w:sz w:val="32"/>
          <w:szCs w:val="32"/>
          <w:shd w:val="clear" w:color="auto" w:fill="auto"/>
          <w:lang w:eastAsia="zh-CN"/>
        </w:rPr>
        <w:t>政务</w:t>
      </w:r>
      <w:r>
        <w:rPr>
          <w:rFonts w:hint="eastAsia" w:ascii="仿宋_GB2312" w:hAnsi="Calibri" w:eastAsia="仿宋_GB2312" w:cs="Calibri"/>
          <w:color w:val="000000"/>
          <w:kern w:val="0"/>
          <w:sz w:val="32"/>
          <w:szCs w:val="32"/>
          <w:shd w:val="clear" w:color="auto" w:fill="auto"/>
          <w:lang w:eastAsia="zh-CN"/>
        </w:rPr>
        <w:t>公开</w:t>
      </w:r>
      <w:r>
        <w:rPr>
          <w:rFonts w:hint="eastAsia" w:ascii="仿宋_GB2312" w:hAnsi="Calibri" w:eastAsia="仿宋_GB2312" w:cs="Calibri"/>
          <w:color w:val="000000"/>
          <w:kern w:val="0"/>
          <w:sz w:val="32"/>
          <w:szCs w:val="32"/>
          <w:shd w:val="clear" w:color="auto" w:fill="auto"/>
        </w:rPr>
        <w:t>要求的时间节点</w:t>
      </w:r>
      <w:r>
        <w:rPr>
          <w:rFonts w:hint="eastAsia" w:ascii="仿宋_GB2312" w:eastAsia="仿宋_GB2312" w:cs="Calibri"/>
          <w:color w:val="000000"/>
          <w:kern w:val="0"/>
          <w:sz w:val="32"/>
          <w:szCs w:val="32"/>
          <w:shd w:val="clear" w:color="auto" w:fill="auto"/>
          <w:lang w:eastAsia="zh-CN"/>
        </w:rPr>
        <w:t>和</w:t>
      </w:r>
      <w:r>
        <w:rPr>
          <w:rFonts w:hint="eastAsia" w:ascii="仿宋_GB2312" w:hAnsi="Calibri" w:eastAsia="仿宋_GB2312" w:cs="Calibri"/>
          <w:color w:val="000000"/>
          <w:kern w:val="0"/>
          <w:sz w:val="32"/>
          <w:szCs w:val="32"/>
          <w:shd w:val="clear" w:color="auto" w:fill="auto"/>
        </w:rPr>
        <w:t>文件印发日期及时予以公开。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Calibri" w:eastAsia="仿宋_GB2312" w:cs="Calibri"/>
          <w:color w:val="000000"/>
          <w:kern w:val="0"/>
          <w:sz w:val="32"/>
          <w:szCs w:val="32"/>
          <w:shd w:val="clear" w:color="auto" w:fill="auto"/>
          <w:lang w:eastAsia="zh-CN"/>
        </w:rPr>
      </w:pPr>
      <w:r>
        <w:rPr>
          <w:rFonts w:hint="eastAsia" w:ascii="楷体_GB2312" w:hAnsi="楷体_GB2312" w:eastAsia="楷体_GB2312" w:cs="楷体_GB2312"/>
          <w:color w:val="000000"/>
          <w:kern w:val="0"/>
          <w:sz w:val="32"/>
          <w:szCs w:val="32"/>
          <w:shd w:val="clear" w:color="auto" w:fill="auto"/>
          <w:lang w:eastAsia="zh-CN"/>
        </w:rPr>
        <w:t>（二）围绕重点任务</w:t>
      </w:r>
      <w:r>
        <w:rPr>
          <w:rFonts w:hint="eastAsia" w:ascii="楷体_GB2312" w:hAnsi="楷体_GB2312" w:eastAsia="楷体_GB2312" w:cs="楷体_GB2312"/>
          <w:color w:val="000000"/>
          <w:kern w:val="0"/>
          <w:sz w:val="32"/>
          <w:szCs w:val="32"/>
          <w:shd w:val="clear" w:color="auto" w:fill="auto"/>
        </w:rPr>
        <w:t>，</w:t>
      </w:r>
      <w:r>
        <w:rPr>
          <w:rFonts w:hint="eastAsia" w:ascii="楷体_GB2312" w:hAnsi="楷体_GB2312" w:eastAsia="楷体_GB2312" w:cs="楷体_GB2312"/>
          <w:color w:val="000000"/>
          <w:kern w:val="0"/>
          <w:sz w:val="32"/>
          <w:szCs w:val="32"/>
          <w:shd w:val="clear" w:color="auto" w:fill="auto"/>
          <w:lang w:eastAsia="zh-CN"/>
        </w:rPr>
        <w:t>以公开促落实。</w:t>
      </w:r>
      <w:r>
        <w:rPr>
          <w:rFonts w:hint="eastAsia" w:ascii="仿宋_GB2312" w:hAnsi="Calibri" w:eastAsia="仿宋_GB2312" w:cs="Calibri"/>
          <w:color w:val="000000"/>
          <w:kern w:val="0"/>
          <w:sz w:val="32"/>
          <w:szCs w:val="32"/>
          <w:shd w:val="clear" w:color="auto" w:fill="auto"/>
          <w:lang w:eastAsia="zh-CN"/>
        </w:rPr>
        <w:t>聚焦经济社会发展，围绕</w:t>
      </w:r>
      <w:r>
        <w:rPr>
          <w:rFonts w:hint="eastAsia" w:ascii="仿宋_GB2312" w:eastAsia="仿宋_GB2312" w:cs="Calibri"/>
          <w:color w:val="000000"/>
          <w:kern w:val="0"/>
          <w:sz w:val="32"/>
          <w:szCs w:val="32"/>
          <w:shd w:val="clear" w:color="auto" w:fill="auto"/>
          <w:lang w:eastAsia="zh-CN"/>
        </w:rPr>
        <w:t>“十四五”规划、</w:t>
      </w:r>
      <w:r>
        <w:rPr>
          <w:rFonts w:hint="eastAsia" w:ascii="仿宋_GB2312" w:hAnsi="Calibri" w:eastAsia="仿宋_GB2312" w:cs="Calibri"/>
          <w:color w:val="000000"/>
          <w:kern w:val="0"/>
          <w:sz w:val="32"/>
          <w:szCs w:val="32"/>
          <w:shd w:val="clear" w:color="auto" w:fill="auto"/>
          <w:lang w:eastAsia="zh-CN"/>
        </w:rPr>
        <w:t>优化营商环境、推进新一轮城南行动计划和“活力中心”建设等重点任务，积极</w:t>
      </w:r>
      <w:r>
        <w:rPr>
          <w:rFonts w:hint="eastAsia" w:ascii="仿宋_GB2312" w:hAnsi="Calibri" w:eastAsia="仿宋_GB2312" w:cs="Calibri"/>
          <w:color w:val="000000"/>
          <w:kern w:val="0"/>
          <w:sz w:val="32"/>
          <w:szCs w:val="32"/>
          <w:shd w:val="clear" w:color="auto" w:fill="auto"/>
          <w:lang w:val="en-US" w:eastAsia="zh-CN"/>
        </w:rPr>
        <w:t>做好区政府门户网站相关专栏工作动态更新。参与优化“十四五”规划专栏，积极参与《北京市丰台区国民经济和社会发展第十四个五年规划和二〇三五年远景目标纲要》、9项“十四五”重点专项规划和</w:t>
      </w:r>
      <w:r>
        <w:rPr>
          <w:rFonts w:hint="eastAsia" w:ascii="仿宋_GB2312" w:eastAsia="仿宋_GB2312" w:cs="Calibri"/>
          <w:color w:val="000000"/>
          <w:kern w:val="0"/>
          <w:sz w:val="32"/>
          <w:szCs w:val="32"/>
          <w:shd w:val="clear" w:color="auto" w:fill="auto"/>
          <w:lang w:val="en-US" w:eastAsia="zh-CN"/>
        </w:rPr>
        <w:t>18</w:t>
      </w:r>
      <w:r>
        <w:rPr>
          <w:rFonts w:hint="eastAsia" w:ascii="仿宋_GB2312" w:hAnsi="Calibri" w:eastAsia="仿宋_GB2312" w:cs="Calibri"/>
          <w:color w:val="000000"/>
          <w:kern w:val="0"/>
          <w:sz w:val="32"/>
          <w:szCs w:val="32"/>
          <w:shd w:val="clear" w:color="auto" w:fill="auto"/>
          <w:lang w:val="en-US" w:eastAsia="zh-CN"/>
        </w:rPr>
        <w:t>项一般专项规划的主动公开工作，并配合做好“一图读懂”</w:t>
      </w:r>
      <w:r>
        <w:rPr>
          <w:rFonts w:hint="eastAsia" w:ascii="仿宋_GB2312" w:eastAsia="仿宋_GB2312" w:cs="Calibri"/>
          <w:color w:val="000000"/>
          <w:kern w:val="0"/>
          <w:sz w:val="32"/>
          <w:szCs w:val="32"/>
          <w:shd w:val="clear" w:color="auto" w:fill="auto"/>
          <w:lang w:val="en-US" w:eastAsia="zh-CN"/>
        </w:rPr>
        <w:t>和</w:t>
      </w:r>
      <w:r>
        <w:rPr>
          <w:rFonts w:hint="eastAsia" w:ascii="仿宋_GB2312" w:hAnsi="Calibri" w:eastAsia="仿宋_GB2312" w:cs="Calibri"/>
          <w:color w:val="000000"/>
          <w:kern w:val="0"/>
          <w:sz w:val="32"/>
          <w:szCs w:val="32"/>
          <w:shd w:val="clear" w:color="auto" w:fill="auto"/>
          <w:lang w:val="en-US" w:eastAsia="zh-CN"/>
        </w:rPr>
        <w:t>动画等配套解读内容,</w:t>
      </w:r>
      <w:r>
        <w:rPr>
          <w:rFonts w:hint="eastAsia" w:ascii="仿宋_GB2312" w:hAnsi="Calibri" w:eastAsia="仿宋_GB2312" w:cs="Calibri"/>
          <w:color w:val="000000"/>
          <w:kern w:val="0"/>
          <w:sz w:val="32"/>
          <w:szCs w:val="32"/>
          <w:shd w:val="clear" w:color="auto" w:fill="auto"/>
        </w:rPr>
        <w:t>进一步</w:t>
      </w:r>
      <w:r>
        <w:rPr>
          <w:rFonts w:hint="eastAsia" w:ascii="仿宋_GB2312" w:hAnsi="Calibri" w:eastAsia="仿宋_GB2312" w:cs="Calibri"/>
          <w:color w:val="000000"/>
          <w:kern w:val="0"/>
          <w:sz w:val="32"/>
          <w:szCs w:val="32"/>
          <w:shd w:val="clear" w:color="auto" w:fill="auto"/>
          <w:lang w:eastAsia="zh-CN"/>
        </w:rPr>
        <w:t>展示了我区做好统筹疫</w:t>
      </w:r>
      <w:r>
        <w:rPr>
          <w:rFonts w:hint="eastAsia" w:ascii="仿宋_GB2312" w:hAnsi="Calibri" w:eastAsia="仿宋_GB2312" w:cs="Calibri"/>
          <w:color w:val="000000"/>
          <w:kern w:val="0"/>
          <w:sz w:val="32"/>
          <w:szCs w:val="32"/>
          <w:shd w:val="clear" w:color="auto" w:fill="auto"/>
          <w:lang w:val="en-US" w:eastAsia="zh-CN"/>
        </w:rPr>
        <w:t>情防控和稳定经济增长</w:t>
      </w:r>
      <w:r>
        <w:rPr>
          <w:rFonts w:hint="eastAsia" w:ascii="仿宋_GB2312" w:hAnsi="Calibri" w:eastAsia="仿宋_GB2312" w:cs="Calibri"/>
          <w:color w:val="000000"/>
          <w:kern w:val="0"/>
          <w:sz w:val="32"/>
          <w:szCs w:val="32"/>
          <w:shd w:val="clear" w:color="auto" w:fill="auto"/>
          <w:lang w:eastAsia="zh-CN"/>
        </w:rPr>
        <w:t>、优化营商环境等重点工作的实际行动，助力建设人民满意的服务型政府</w:t>
      </w:r>
      <w:r>
        <w:rPr>
          <w:rFonts w:hint="eastAsia" w:ascii="仿宋_GB2312" w:hAnsi="Calibri" w:eastAsia="仿宋_GB2312" w:cs="Calibri"/>
          <w:color w:val="000000"/>
          <w:kern w:val="0"/>
          <w:sz w:val="32"/>
          <w:szCs w:val="32"/>
          <w:shd w:val="clear" w:color="auto" w:fill="auto"/>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s="Times New Roman"/>
          <w:sz w:val="32"/>
          <w:szCs w:val="32"/>
          <w:shd w:val="clear" w:color="auto" w:fill="auto"/>
          <w:lang w:eastAsia="zh-CN"/>
        </w:rPr>
      </w:pPr>
      <w:r>
        <w:rPr>
          <w:rFonts w:hint="eastAsia" w:ascii="楷体_GB2312" w:hAnsi="楷体_GB2312" w:eastAsia="楷体_GB2312" w:cs="楷体_GB2312"/>
          <w:color w:val="000000"/>
          <w:kern w:val="0"/>
          <w:sz w:val="32"/>
          <w:szCs w:val="32"/>
          <w:shd w:val="clear" w:color="auto" w:fill="auto"/>
          <w:lang w:eastAsia="zh-CN"/>
        </w:rPr>
        <w:t>（三）规范执法公示，畅通监督渠道。</w:t>
      </w:r>
      <w:r>
        <w:rPr>
          <w:rFonts w:hint="eastAsia" w:ascii="仿宋_GB2312" w:eastAsia="仿宋_GB2312" w:cs="Times New Roman"/>
          <w:sz w:val="32"/>
          <w:szCs w:val="32"/>
          <w:shd w:val="clear" w:color="auto" w:fill="auto"/>
          <w:lang w:eastAsia="zh-CN"/>
        </w:rPr>
        <w:t>按照“谁执法谁公示”的原则，规范落实行政执法公示制度，切实提高工作透明度，主动接受社会监督。一是确保基本信息全面、准确。主动公示我委执法主体信息、权责清单、双随机抽查事项清单、行政处罚执法流程等，确保公示内容无遗漏，在信息发生变更时及时调整公示内容。二是确保动态信息主动、及时。按要求于1月公示上年度行政执法统计年报；于一季度公示当年执法检查计划；按季度公示执法检查季度计划及检查结果，全年公示4批次619项执法检查结果；严格执行在行政处罚、行政许可作出7个工作日内公示要求，全年公示71条行政许可，年内未发生行政处罚，公示数据完整性、及时性均达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jc w:val="both"/>
        <w:textAlignment w:val="auto"/>
        <w:rPr>
          <w:rFonts w:hint="eastAsia" w:ascii="仿宋_GB2312" w:hAnsi="Calibri" w:eastAsia="仿宋_GB2312" w:cs="Calibri"/>
          <w:color w:val="000000"/>
          <w:kern w:val="0"/>
          <w:sz w:val="32"/>
          <w:szCs w:val="32"/>
          <w:shd w:val="clear" w:color="auto" w:fill="auto"/>
        </w:rPr>
      </w:pPr>
      <w:r>
        <w:rPr>
          <w:rFonts w:hint="eastAsia" w:ascii="楷体_GB2312" w:hAnsi="楷体_GB2312" w:eastAsia="楷体_GB2312" w:cs="楷体_GB2312"/>
          <w:color w:val="000000"/>
          <w:kern w:val="0"/>
          <w:sz w:val="32"/>
          <w:szCs w:val="32"/>
          <w:shd w:val="clear" w:color="auto" w:fill="auto"/>
          <w:lang w:eastAsia="zh-CN"/>
        </w:rPr>
        <w:t>（四）强化培训学习，</w:t>
      </w:r>
      <w:r>
        <w:rPr>
          <w:rFonts w:hint="eastAsia" w:ascii="楷体_GB2312" w:hAnsi="楷体_GB2312" w:eastAsia="楷体_GB2312" w:cs="楷体_GB2312"/>
          <w:color w:val="000000"/>
          <w:kern w:val="0"/>
          <w:sz w:val="32"/>
          <w:szCs w:val="32"/>
          <w:shd w:val="clear" w:color="auto" w:fill="auto"/>
        </w:rPr>
        <w:t>提升工作能力</w:t>
      </w:r>
      <w:r>
        <w:rPr>
          <w:rFonts w:hint="eastAsia" w:ascii="楷体_GB2312" w:hAnsi="楷体_GB2312" w:eastAsia="楷体_GB2312" w:cs="楷体_GB2312"/>
          <w:color w:val="000000"/>
          <w:kern w:val="0"/>
          <w:sz w:val="32"/>
          <w:szCs w:val="32"/>
          <w:shd w:val="clear" w:color="auto" w:fill="auto"/>
          <w:lang w:eastAsia="zh-CN"/>
        </w:rPr>
        <w:t>。</w:t>
      </w:r>
      <w:r>
        <w:rPr>
          <w:rFonts w:hint="eastAsia" w:ascii="仿宋_GB2312" w:hAnsi="Calibri" w:eastAsia="仿宋_GB2312" w:cs="Calibri"/>
          <w:color w:val="000000"/>
          <w:kern w:val="0"/>
          <w:sz w:val="32"/>
          <w:szCs w:val="32"/>
          <w:shd w:val="clear" w:color="auto" w:fill="auto"/>
        </w:rPr>
        <w:t>在安排精干力量负责政务公开工作的同时，积极</w:t>
      </w:r>
      <w:r>
        <w:rPr>
          <w:rFonts w:hint="eastAsia" w:ascii="仿宋_GB2312" w:eastAsia="仿宋_GB2312" w:cs="Calibri"/>
          <w:color w:val="000000"/>
          <w:kern w:val="0"/>
          <w:sz w:val="32"/>
          <w:szCs w:val="32"/>
          <w:shd w:val="clear" w:color="auto" w:fill="auto"/>
          <w:lang w:eastAsia="zh-CN"/>
        </w:rPr>
        <w:t>组织人员</w:t>
      </w:r>
      <w:r>
        <w:rPr>
          <w:rFonts w:hint="eastAsia" w:ascii="仿宋_GB2312" w:hAnsi="Calibri" w:eastAsia="仿宋_GB2312" w:cs="Calibri"/>
          <w:color w:val="000000"/>
          <w:kern w:val="0"/>
          <w:sz w:val="32"/>
          <w:szCs w:val="32"/>
          <w:shd w:val="clear" w:color="auto" w:fill="auto"/>
        </w:rPr>
        <w:t>参加</w:t>
      </w:r>
      <w:r>
        <w:rPr>
          <w:rFonts w:hint="eastAsia" w:ascii="仿宋_GB2312" w:eastAsia="仿宋_GB2312" w:cs="Calibri"/>
          <w:color w:val="000000"/>
          <w:kern w:val="0"/>
          <w:sz w:val="32"/>
          <w:szCs w:val="32"/>
          <w:shd w:val="clear" w:color="auto" w:fill="auto"/>
          <w:lang w:eastAsia="zh-CN"/>
        </w:rPr>
        <w:t>我</w:t>
      </w:r>
      <w:r>
        <w:rPr>
          <w:rFonts w:hint="eastAsia" w:ascii="仿宋_GB2312" w:hAnsi="Calibri" w:eastAsia="仿宋_GB2312" w:cs="Calibri"/>
          <w:color w:val="000000"/>
          <w:kern w:val="0"/>
          <w:sz w:val="32"/>
          <w:szCs w:val="32"/>
          <w:shd w:val="clear" w:color="auto" w:fill="auto"/>
        </w:rPr>
        <w:t>区举办的</w:t>
      </w:r>
      <w:r>
        <w:rPr>
          <w:rFonts w:hint="eastAsia" w:ascii="仿宋_GB2312" w:eastAsia="仿宋_GB2312" w:cs="Calibri"/>
          <w:color w:val="000000"/>
          <w:kern w:val="0"/>
          <w:sz w:val="32"/>
          <w:szCs w:val="32"/>
          <w:shd w:val="clear" w:color="auto" w:fill="auto"/>
          <w:lang w:val="en-US" w:eastAsia="zh-CN"/>
        </w:rPr>
        <w:t>2022年区政府网站及政务新媒体新版检查指标等</w:t>
      </w:r>
      <w:r>
        <w:rPr>
          <w:rFonts w:hint="eastAsia" w:ascii="仿宋_GB2312" w:hAnsi="Calibri" w:eastAsia="仿宋_GB2312" w:cs="Calibri"/>
          <w:color w:val="000000"/>
          <w:kern w:val="0"/>
          <w:sz w:val="32"/>
          <w:szCs w:val="32"/>
          <w:shd w:val="clear" w:color="auto" w:fill="auto"/>
        </w:rPr>
        <w:t>相关培训，进一步提升业务水平。遇到新问题无法解决时，积极与信息</w:t>
      </w:r>
      <w:r>
        <w:rPr>
          <w:rFonts w:hint="eastAsia" w:ascii="仿宋_GB2312" w:eastAsia="仿宋_GB2312" w:cs="Calibri"/>
          <w:color w:val="000000"/>
          <w:kern w:val="0"/>
          <w:sz w:val="32"/>
          <w:szCs w:val="32"/>
          <w:shd w:val="clear" w:color="auto" w:fill="auto"/>
          <w:lang w:eastAsia="zh-CN"/>
        </w:rPr>
        <w:t>公开</w:t>
      </w:r>
      <w:r>
        <w:rPr>
          <w:rFonts w:hint="eastAsia" w:ascii="仿宋_GB2312" w:hAnsi="Calibri" w:eastAsia="仿宋_GB2312" w:cs="Calibri"/>
          <w:color w:val="000000"/>
          <w:kern w:val="0"/>
          <w:sz w:val="32"/>
          <w:szCs w:val="32"/>
          <w:shd w:val="clear" w:color="auto" w:fill="auto"/>
        </w:rPr>
        <w:t>办衔接予以解决。利用机关集中学习时间对政务信息公开要求进行集中学习</w:t>
      </w:r>
      <w:r>
        <w:rPr>
          <w:rFonts w:hint="eastAsia" w:ascii="仿宋_GB2312" w:eastAsia="仿宋_GB2312" w:cs="Calibri"/>
          <w:color w:val="000000"/>
          <w:kern w:val="0"/>
          <w:sz w:val="32"/>
          <w:szCs w:val="32"/>
          <w:shd w:val="clear" w:color="auto" w:fill="auto"/>
          <w:lang w:eastAsia="zh-CN"/>
        </w:rPr>
        <w:t>，</w:t>
      </w:r>
      <w:r>
        <w:rPr>
          <w:rFonts w:hint="eastAsia" w:ascii="仿宋_GB2312" w:eastAsia="仿宋_GB2312"/>
          <w:b w:val="0"/>
          <w:bCs w:val="0"/>
          <w:sz w:val="32"/>
          <w:szCs w:val="32"/>
          <w:shd w:val="clear" w:color="auto" w:fill="auto"/>
          <w:lang w:eastAsia="zh-CN"/>
        </w:rPr>
        <w:t>组织相关科室研究学习《丰台区行政机关政策性文件公开发布和解读工作办法》，明确</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解读材料应包含的背景依据、涉及范围、关键词诠释等内容，确保政策内涵清晰，避免误解误读</w:t>
      </w:r>
      <w:r>
        <w:rPr>
          <w:rFonts w:hint="eastAsia" w:ascii="仿宋_GB2312" w:hAnsi="Calibri" w:eastAsia="仿宋_GB2312" w:cs="Calibri"/>
          <w:color w:val="000000"/>
          <w:kern w:val="0"/>
          <w:sz w:val="32"/>
          <w:szCs w:val="32"/>
          <w:shd w:val="clear" w:color="auto" w:fill="auto"/>
        </w:rPr>
        <w:t>，对工作任务进行统一安排。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jc w:val="both"/>
        <w:textAlignment w:val="auto"/>
        <w:rPr>
          <w:rFonts w:hint="eastAsia" w:eastAsia="仿宋_GB2312"/>
          <w:lang w:val="en-US" w:eastAsia="zh-CN"/>
        </w:rPr>
      </w:pPr>
      <w:r>
        <w:rPr>
          <w:rFonts w:hint="eastAsia" w:ascii="楷体_GB2312" w:hAnsi="楷体_GB2312" w:eastAsia="楷体_GB2312" w:cs="楷体_GB2312"/>
          <w:color w:val="000000"/>
          <w:kern w:val="0"/>
          <w:sz w:val="32"/>
          <w:szCs w:val="32"/>
          <w:shd w:val="clear" w:color="auto" w:fill="auto"/>
          <w:lang w:val="en-US" w:eastAsia="zh-CN"/>
        </w:rPr>
        <w:t>(五)</w:t>
      </w:r>
      <w:r>
        <w:rPr>
          <w:rFonts w:hint="eastAsia" w:ascii="楷体_GB2312" w:hAnsi="楷体_GB2312" w:eastAsia="楷体_GB2312" w:cs="楷体_GB2312"/>
          <w:color w:val="000000"/>
          <w:kern w:val="0"/>
          <w:sz w:val="32"/>
          <w:szCs w:val="32"/>
          <w:shd w:val="clear" w:color="auto" w:fill="auto"/>
          <w:lang w:eastAsia="zh-CN"/>
        </w:rPr>
        <w:t>畅通</w:t>
      </w:r>
      <w:r>
        <w:rPr>
          <w:rFonts w:hint="eastAsia" w:ascii="楷体_GB2312" w:hAnsi="楷体_GB2312" w:eastAsia="楷体_GB2312" w:cs="楷体_GB2312"/>
          <w:color w:val="000000"/>
          <w:kern w:val="0"/>
          <w:sz w:val="32"/>
          <w:szCs w:val="32"/>
          <w:shd w:val="clear" w:color="auto" w:fill="auto"/>
        </w:rPr>
        <w:t>渠道公开</w:t>
      </w:r>
      <w:r>
        <w:rPr>
          <w:rFonts w:hint="eastAsia" w:ascii="楷体_GB2312" w:hAnsi="楷体_GB2312" w:eastAsia="楷体_GB2312" w:cs="楷体_GB2312"/>
          <w:color w:val="000000"/>
          <w:kern w:val="0"/>
          <w:sz w:val="32"/>
          <w:szCs w:val="32"/>
          <w:shd w:val="clear" w:color="auto" w:fill="auto"/>
          <w:lang w:val="en-US" w:eastAsia="zh-CN"/>
        </w:rPr>
        <w:t>,规范</w:t>
      </w:r>
      <w:r>
        <w:rPr>
          <w:rFonts w:hint="eastAsia" w:ascii="楷体_GB2312" w:hAnsi="楷体_GB2312" w:eastAsia="楷体_GB2312" w:cs="楷体_GB2312"/>
          <w:spacing w:val="8"/>
          <w:kern w:val="0"/>
          <w:sz w:val="32"/>
          <w:szCs w:val="32"/>
          <w:lang w:val="en-US" w:eastAsia="zh-CN"/>
        </w:rPr>
        <w:t>监督保障</w:t>
      </w:r>
      <w:r>
        <w:rPr>
          <w:rFonts w:hint="eastAsia" w:ascii="仿宋_GB2312" w:eastAsia="仿宋_GB2312" w:cs="Calibri"/>
          <w:color w:val="000000"/>
          <w:kern w:val="0"/>
          <w:sz w:val="32"/>
          <w:szCs w:val="32"/>
          <w:lang w:eastAsia="zh-CN"/>
        </w:rPr>
        <w:t>。</w:t>
      </w:r>
      <w:r>
        <w:rPr>
          <w:rFonts w:hint="eastAsia" w:ascii="仿宋_GB2312" w:eastAsia="仿宋_GB2312" w:cs="Calibri"/>
          <w:b/>
          <w:bCs/>
          <w:color w:val="000000"/>
          <w:kern w:val="0"/>
          <w:sz w:val="32"/>
          <w:szCs w:val="32"/>
          <w:lang w:eastAsia="zh-CN"/>
        </w:rPr>
        <w:t>一是</w:t>
      </w:r>
      <w:r>
        <w:rPr>
          <w:rFonts w:hint="eastAsia" w:ascii="仿宋_GB2312" w:hAnsi="Calibri" w:eastAsia="仿宋_GB2312" w:cs="Calibri"/>
          <w:color w:val="000000"/>
          <w:kern w:val="0"/>
          <w:sz w:val="32"/>
          <w:szCs w:val="32"/>
        </w:rPr>
        <w:t>规范信息发布程序，切实做好信息属性源头认定，确保发布及时、准确、安全。</w:t>
      </w:r>
      <w:r>
        <w:rPr>
          <w:rFonts w:hint="eastAsia" w:ascii="仿宋_GB2312" w:eastAsia="仿宋_GB2312" w:cs="Calibri"/>
          <w:b/>
          <w:bCs/>
          <w:color w:val="000000"/>
          <w:kern w:val="0"/>
          <w:sz w:val="32"/>
          <w:szCs w:val="32"/>
          <w:lang w:eastAsia="zh-CN"/>
        </w:rPr>
        <w:t>二是</w:t>
      </w:r>
      <w:r>
        <w:rPr>
          <w:rFonts w:hint="eastAsia" w:ascii="仿宋_GB2312" w:hAnsi="Calibri" w:eastAsia="仿宋_GB2312" w:cs="Calibri"/>
          <w:color w:val="000000"/>
          <w:kern w:val="0"/>
          <w:sz w:val="32"/>
          <w:szCs w:val="32"/>
        </w:rPr>
        <w:t>建立公开内容动态扩展和定期审查机制，对未主动公开的信息进行全面自查，发现应公开未公开的应当公开。</w:t>
      </w:r>
      <w:r>
        <w:rPr>
          <w:rFonts w:hint="eastAsia" w:ascii="仿宋_GB2312" w:eastAsia="仿宋_GB2312" w:cs="Calibri"/>
          <w:b/>
          <w:bCs/>
          <w:color w:val="000000"/>
          <w:kern w:val="0"/>
          <w:sz w:val="32"/>
          <w:szCs w:val="32"/>
          <w:lang w:eastAsia="zh-CN"/>
        </w:rPr>
        <w:t>三是</w:t>
      </w:r>
      <w:r>
        <w:rPr>
          <w:rFonts w:hint="eastAsia" w:ascii="仿宋_GB2312" w:hAnsi="Calibri" w:eastAsia="仿宋_GB2312" w:cs="Calibri"/>
          <w:color w:val="000000"/>
          <w:kern w:val="0"/>
          <w:sz w:val="32"/>
          <w:szCs w:val="32"/>
        </w:rPr>
        <w:t>加强保密审查，严格落实信息发布保密审查制度，强化风险意识，确保公开工作安全规范有</w:t>
      </w:r>
      <w:r>
        <w:rPr>
          <w:rFonts w:hint="eastAsia" w:ascii="仿宋_GB2312" w:eastAsia="仿宋_GB2312" w:cs="Calibri"/>
          <w:color w:val="000000"/>
          <w:kern w:val="0"/>
          <w:sz w:val="32"/>
          <w:szCs w:val="32"/>
          <w:lang w:eastAsia="zh-CN"/>
        </w:rPr>
        <w:t>序。</w:t>
      </w:r>
      <w:r>
        <w:rPr>
          <w:rFonts w:hint="eastAsia" w:ascii="仿宋_GB2312" w:eastAsia="仿宋_GB2312" w:cs="Calibri"/>
          <w:b/>
          <w:bCs/>
          <w:color w:val="000000"/>
          <w:kern w:val="0"/>
          <w:sz w:val="32"/>
          <w:szCs w:val="32"/>
          <w:lang w:eastAsia="zh-CN"/>
        </w:rPr>
        <w:t>四是</w:t>
      </w:r>
      <w:r>
        <w:rPr>
          <w:rFonts w:hint="eastAsia" w:ascii="仿宋_GB2312" w:eastAsia="仿宋_GB2312" w:cs="Calibri"/>
          <w:color w:val="000000"/>
          <w:kern w:val="0"/>
          <w:sz w:val="32"/>
          <w:szCs w:val="32"/>
          <w:lang w:eastAsia="zh-CN"/>
        </w:rPr>
        <w:t>接受公众监督。</w:t>
      </w:r>
      <w:r>
        <w:rPr>
          <w:rFonts w:hint="eastAsia" w:ascii="仿宋_GB2312" w:hAnsi="Calibri" w:eastAsia="仿宋_GB2312" w:cs="Calibri"/>
          <w:color w:val="000000"/>
          <w:kern w:val="0"/>
          <w:sz w:val="32"/>
          <w:szCs w:val="32"/>
        </w:rPr>
        <w:t>在网站公开同时，</w:t>
      </w:r>
      <w:r>
        <w:rPr>
          <w:rFonts w:hint="eastAsia" w:ascii="仿宋_GB2312" w:eastAsia="仿宋_GB2312" w:cs="Calibri"/>
          <w:color w:val="000000"/>
          <w:kern w:val="0"/>
          <w:sz w:val="32"/>
          <w:szCs w:val="32"/>
          <w:lang w:eastAsia="zh-CN"/>
        </w:rPr>
        <w:t>通过“北京丰台”客户端等</w:t>
      </w:r>
      <w:r>
        <w:rPr>
          <w:rFonts w:hint="eastAsia" w:ascii="仿宋_GB2312" w:hAnsi="Calibri" w:eastAsia="仿宋_GB2312" w:cs="Calibri"/>
          <w:color w:val="000000"/>
          <w:kern w:val="0"/>
          <w:sz w:val="32"/>
          <w:szCs w:val="32"/>
        </w:rPr>
        <w:t>媒介发布</w:t>
      </w:r>
      <w:r>
        <w:rPr>
          <w:rFonts w:hint="eastAsia" w:ascii="仿宋_GB2312" w:eastAsia="仿宋_GB2312" w:cs="Calibri"/>
          <w:color w:val="000000"/>
          <w:kern w:val="0"/>
          <w:sz w:val="32"/>
          <w:szCs w:val="32"/>
          <w:lang w:eastAsia="zh-CN"/>
        </w:rPr>
        <w:t>重要政府信息</w:t>
      </w:r>
      <w:r>
        <w:rPr>
          <w:rFonts w:hint="eastAsia" w:ascii="仿宋_GB2312" w:hAnsi="Calibri" w:eastAsia="仿宋_GB2312" w:cs="Calibri"/>
          <w:color w:val="000000"/>
          <w:kern w:val="0"/>
          <w:sz w:val="32"/>
          <w:szCs w:val="32"/>
        </w:rPr>
        <w:t>，</w:t>
      </w:r>
      <w:r>
        <w:rPr>
          <w:rFonts w:hint="eastAsia" w:ascii="仿宋_GB2312" w:eastAsia="仿宋_GB2312" w:cs="Calibri"/>
          <w:color w:val="000000"/>
          <w:kern w:val="0"/>
          <w:sz w:val="32"/>
          <w:szCs w:val="32"/>
          <w:lang w:eastAsia="zh-CN"/>
        </w:rPr>
        <w:t>积极</w:t>
      </w:r>
      <w:r>
        <w:rPr>
          <w:rFonts w:hint="eastAsia" w:ascii="仿宋_GB2312" w:hAnsi="Calibri" w:eastAsia="仿宋_GB2312" w:cs="Calibri"/>
          <w:color w:val="000000"/>
          <w:kern w:val="0"/>
          <w:sz w:val="32"/>
          <w:szCs w:val="32"/>
        </w:rPr>
        <w:t>接受相关利益人及社会监督。</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64" w:firstLineChars="145"/>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10"/>
        <w:tblpPr w:leftFromText="180" w:rightFromText="180" w:vertAnchor="text" w:horzAnchor="page" w:tblpX="1334" w:tblpY="131"/>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9"/>
        <w:gridCol w:w="689"/>
        <w:gridCol w:w="688"/>
        <w:gridCol w:w="688"/>
        <w:gridCol w:w="688"/>
        <w:gridCol w:w="688"/>
        <w:gridCol w:w="688"/>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9"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9"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0"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9"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0"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59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16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lang w:val="en-US" w:eastAsia="zh-CN"/>
              </w:rPr>
            </w:pPr>
            <w:r>
              <w:rPr>
                <w:rFonts w:hint="eastAsia"/>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34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61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3</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3</w:t>
            </w:r>
          </w:p>
        </w:tc>
      </w:tr>
    </w:tbl>
    <w:p>
      <w:pPr>
        <w:spacing w:line="560" w:lineRule="exact"/>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b w:val="0"/>
          <w:bCs w:val="0"/>
          <w:sz w:val="32"/>
          <w:szCs w:val="32"/>
          <w:lang w:val="en-US" w:eastAsia="zh-CN"/>
        </w:rPr>
      </w:pPr>
      <w:r>
        <w:rPr>
          <w:rFonts w:hint="eastAsia" w:ascii="仿宋_GB2312" w:eastAsia="仿宋_GB2312" w:cs="Calibri"/>
          <w:color w:val="000000"/>
          <w:kern w:val="0"/>
          <w:sz w:val="32"/>
          <w:szCs w:val="32"/>
          <w:lang w:eastAsia="zh-CN"/>
        </w:rPr>
        <w:t>回顾</w:t>
      </w:r>
      <w:r>
        <w:rPr>
          <w:rFonts w:hint="eastAsia" w:ascii="仿宋_GB2312" w:eastAsia="仿宋_GB2312" w:cs="Calibri"/>
          <w:color w:val="000000"/>
          <w:kern w:val="0"/>
          <w:sz w:val="32"/>
          <w:szCs w:val="32"/>
          <w:lang w:val="en-US" w:eastAsia="zh-CN"/>
        </w:rPr>
        <w:t>2022年,我委</w:t>
      </w:r>
      <w:r>
        <w:rPr>
          <w:rFonts w:hint="eastAsia" w:ascii="仿宋_GB2312" w:hAnsi="Calibri" w:eastAsia="仿宋_GB2312" w:cs="Calibri"/>
          <w:color w:val="000000"/>
          <w:kern w:val="0"/>
          <w:sz w:val="32"/>
          <w:szCs w:val="32"/>
        </w:rPr>
        <w:t>信息公开</w:t>
      </w:r>
      <w:r>
        <w:rPr>
          <w:rFonts w:hint="eastAsia" w:ascii="仿宋_GB2312" w:eastAsia="仿宋_GB2312" w:cs="Calibri"/>
          <w:color w:val="000000"/>
          <w:kern w:val="0"/>
          <w:sz w:val="32"/>
          <w:szCs w:val="32"/>
          <w:lang w:eastAsia="zh-CN"/>
        </w:rPr>
        <w:t>各方面</w:t>
      </w:r>
      <w:r>
        <w:rPr>
          <w:rFonts w:hint="eastAsia" w:ascii="仿宋_GB2312" w:hAnsi="Calibri" w:eastAsia="仿宋_GB2312" w:cs="Calibri"/>
          <w:color w:val="000000"/>
          <w:kern w:val="0"/>
          <w:sz w:val="32"/>
          <w:szCs w:val="32"/>
        </w:rPr>
        <w:t>工作</w:t>
      </w:r>
      <w:r>
        <w:rPr>
          <w:rFonts w:hint="eastAsia" w:ascii="仿宋_GB2312" w:eastAsia="仿宋_GB2312" w:cs="Calibri"/>
          <w:color w:val="000000"/>
          <w:kern w:val="0"/>
          <w:sz w:val="32"/>
          <w:szCs w:val="32"/>
          <w:lang w:eastAsia="zh-CN"/>
        </w:rPr>
        <w:t>都</w:t>
      </w:r>
      <w:r>
        <w:rPr>
          <w:rFonts w:hint="eastAsia" w:ascii="仿宋_GB2312" w:hAnsi="Calibri" w:eastAsia="仿宋_GB2312" w:cs="Calibri"/>
          <w:color w:val="000000"/>
          <w:kern w:val="0"/>
          <w:sz w:val="32"/>
          <w:szCs w:val="32"/>
        </w:rPr>
        <w:t>取得了一定</w:t>
      </w:r>
      <w:r>
        <w:rPr>
          <w:rFonts w:hint="eastAsia" w:ascii="仿宋_GB2312" w:eastAsia="仿宋_GB2312" w:cs="Calibri"/>
          <w:color w:val="000000"/>
          <w:kern w:val="0"/>
          <w:sz w:val="32"/>
          <w:szCs w:val="32"/>
          <w:lang w:eastAsia="zh-CN"/>
        </w:rPr>
        <w:t>的进步和</w:t>
      </w:r>
      <w:r>
        <w:rPr>
          <w:rFonts w:hint="eastAsia" w:ascii="仿宋_GB2312" w:hAnsi="Calibri" w:eastAsia="仿宋_GB2312" w:cs="Calibri"/>
          <w:color w:val="000000"/>
          <w:kern w:val="0"/>
          <w:sz w:val="32"/>
          <w:szCs w:val="32"/>
        </w:rPr>
        <w:t>成</w:t>
      </w:r>
      <w:r>
        <w:rPr>
          <w:rFonts w:hint="eastAsia" w:ascii="仿宋_GB2312" w:eastAsia="仿宋_GB2312" w:cs="Calibri"/>
          <w:color w:val="000000"/>
          <w:kern w:val="0"/>
          <w:sz w:val="32"/>
          <w:szCs w:val="32"/>
          <w:lang w:eastAsia="zh-CN"/>
        </w:rPr>
        <w:t>绩</w:t>
      </w:r>
      <w:r>
        <w:rPr>
          <w:rFonts w:hint="eastAsia" w:ascii="仿宋_GB2312" w:hAnsi="Calibri" w:eastAsia="仿宋_GB2312" w:cs="Calibri"/>
          <w:color w:val="000000"/>
          <w:kern w:val="0"/>
          <w:sz w:val="32"/>
          <w:szCs w:val="32"/>
        </w:rPr>
        <w:t>，</w:t>
      </w:r>
      <w:r>
        <w:rPr>
          <w:rFonts w:hint="eastAsia" w:ascii="仿宋_GB2312" w:eastAsia="仿宋_GB2312" w:cs="Calibri"/>
          <w:color w:val="000000"/>
          <w:kern w:val="0"/>
          <w:sz w:val="32"/>
          <w:szCs w:val="32"/>
          <w:lang w:eastAsia="zh-CN"/>
        </w:rPr>
        <w:t>在</w:t>
      </w:r>
      <w:r>
        <w:rPr>
          <w:rFonts w:hint="eastAsia" w:ascii="仿宋_GB2312" w:eastAsia="仿宋_GB2312"/>
          <w:sz w:val="32"/>
          <w:szCs w:val="32"/>
          <w:lang w:eastAsia="zh-CN"/>
        </w:rPr>
        <w:t>政策解读工作中</w:t>
      </w:r>
      <w:r>
        <w:rPr>
          <w:rFonts w:hint="eastAsia" w:ascii="仿宋_GB2312" w:hAnsi="Calibri" w:eastAsia="仿宋_GB2312" w:cs="Calibri"/>
          <w:color w:val="000000"/>
          <w:kern w:val="0"/>
          <w:sz w:val="32"/>
          <w:szCs w:val="32"/>
        </w:rPr>
        <w:t>仍存在一些问题</w:t>
      </w:r>
      <w:r>
        <w:rPr>
          <w:rFonts w:hint="eastAsia" w:ascii="仿宋_GB2312" w:eastAsia="仿宋_GB2312"/>
          <w:sz w:val="32"/>
          <w:szCs w:val="32"/>
          <w:lang w:eastAsia="zh-CN"/>
        </w:rPr>
        <w:t>，虽能及时发布配套解读内容，但解读水平距公众对于政策解读的期望还存在一定差距，</w:t>
      </w:r>
      <w:r>
        <w:rPr>
          <w:rFonts w:hint="eastAsia" w:ascii="仿宋_GB2312" w:hAnsi="Calibri" w:eastAsia="仿宋_GB2312" w:cs="Calibri"/>
          <w:color w:val="000000"/>
          <w:kern w:val="0"/>
          <w:sz w:val="32"/>
          <w:szCs w:val="32"/>
        </w:rPr>
        <w:t>主要表现在</w:t>
      </w:r>
      <w:r>
        <w:rPr>
          <w:rFonts w:hint="eastAsia" w:ascii="仿宋_GB2312" w:eastAsia="仿宋_GB2312"/>
          <w:b w:val="0"/>
          <w:bCs w:val="0"/>
          <w:sz w:val="32"/>
          <w:szCs w:val="32"/>
          <w:lang w:val="en-US" w:eastAsia="zh-CN"/>
        </w:rPr>
        <w:t>政策解读方式相对单一等方面。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default"/>
          <w:lang w:val="en-US" w:eastAsia="zh-CN"/>
        </w:rPr>
      </w:pPr>
      <w:r>
        <w:rPr>
          <w:rFonts w:hint="eastAsia" w:ascii="仿宋_GB2312" w:hAnsi="ABCDEE-����" w:eastAsia="仿宋_GB2312"/>
          <w:color w:val="000000"/>
          <w:sz w:val="32"/>
          <w:szCs w:val="32"/>
          <w:shd w:val="clear" w:color="auto" w:fill="FFFFFF"/>
        </w:rPr>
        <w:t>在</w:t>
      </w:r>
      <w:r>
        <w:rPr>
          <w:rFonts w:ascii="仿宋_GB2312" w:hAnsi="ABCDEE-����" w:eastAsia="仿宋_GB2312"/>
          <w:color w:val="000000"/>
          <w:sz w:val="32"/>
          <w:szCs w:val="32"/>
          <w:shd w:val="clear" w:color="auto" w:fill="FFFFFF"/>
        </w:rPr>
        <w:t>今后的工作中，我委将</w:t>
      </w:r>
      <w:r>
        <w:rPr>
          <w:rFonts w:hint="eastAsia" w:ascii="仿宋_GB2312" w:hAnsi="ABCDEE-����" w:eastAsia="仿宋_GB2312"/>
          <w:color w:val="000000"/>
          <w:sz w:val="32"/>
          <w:szCs w:val="32"/>
          <w:shd w:val="clear" w:color="auto" w:fill="FFFFFF"/>
          <w:lang w:eastAsia="zh-CN"/>
        </w:rPr>
        <w:t>持续</w:t>
      </w:r>
      <w:r>
        <w:rPr>
          <w:rFonts w:ascii="仿宋_GB2312" w:hAnsi="ABCDEE-����" w:eastAsia="仿宋_GB2312"/>
          <w:color w:val="000000"/>
          <w:sz w:val="32"/>
          <w:szCs w:val="32"/>
          <w:shd w:val="clear" w:color="auto" w:fill="FFFFFF"/>
        </w:rPr>
        <w:t>加强对</w:t>
      </w:r>
      <w:r>
        <w:rPr>
          <w:rFonts w:hint="eastAsia" w:ascii="仿宋_GB2312" w:hAnsi="ABCDEE-����" w:eastAsia="仿宋_GB2312"/>
          <w:color w:val="000000"/>
          <w:sz w:val="32"/>
          <w:szCs w:val="32"/>
          <w:shd w:val="clear" w:color="auto" w:fill="FFFFFF"/>
          <w:lang w:eastAsia="zh-CN"/>
        </w:rPr>
        <w:t>政策解读</w:t>
      </w:r>
      <w:r>
        <w:rPr>
          <w:rFonts w:ascii="仿宋_GB2312" w:hAnsi="ABCDEE-����" w:eastAsia="仿宋_GB2312"/>
          <w:color w:val="000000"/>
          <w:sz w:val="32"/>
          <w:szCs w:val="32"/>
          <w:shd w:val="clear" w:color="auto" w:fill="FFFFFF"/>
        </w:rPr>
        <w:t>的管理，</w:t>
      </w:r>
      <w:r>
        <w:rPr>
          <w:rFonts w:hint="eastAsia" w:ascii="仿宋_GB2312" w:hAnsi="ABCDEE-����" w:eastAsia="仿宋_GB2312"/>
          <w:color w:val="000000"/>
          <w:sz w:val="32"/>
          <w:szCs w:val="32"/>
          <w:shd w:val="clear" w:color="auto" w:fill="FFFFFF"/>
          <w:lang w:eastAsia="zh-CN"/>
        </w:rPr>
        <w:t>推进</w:t>
      </w:r>
      <w:r>
        <w:rPr>
          <w:rFonts w:hint="eastAsia" w:ascii="仿宋_GB2312" w:eastAsia="仿宋_GB2312"/>
          <w:sz w:val="32"/>
          <w:szCs w:val="32"/>
          <w:lang w:eastAsia="zh-CN"/>
        </w:rPr>
        <w:t>政策解读</w:t>
      </w:r>
      <w:r>
        <w:rPr>
          <w:rFonts w:ascii="仿宋_GB2312" w:eastAsia="仿宋_GB2312"/>
          <w:sz w:val="32"/>
          <w:szCs w:val="32"/>
        </w:rPr>
        <w:t>采编队伍建设</w:t>
      </w:r>
      <w:r>
        <w:rPr>
          <w:rFonts w:hint="eastAsia" w:ascii="仿宋_GB2312" w:eastAsia="仿宋_GB2312"/>
          <w:sz w:val="32"/>
          <w:szCs w:val="32"/>
          <w:lang w:eastAsia="zh-CN"/>
        </w:rPr>
        <w:t>，</w:t>
      </w:r>
      <w:r>
        <w:rPr>
          <w:rFonts w:ascii="仿宋_GB2312" w:hAnsi="ABCDEE-����" w:eastAsia="仿宋_GB2312"/>
          <w:color w:val="000000"/>
          <w:sz w:val="32"/>
          <w:szCs w:val="32"/>
          <w:shd w:val="clear" w:color="auto" w:fill="FFFFFF"/>
        </w:rPr>
        <w:t>发挥</w:t>
      </w:r>
      <w:r>
        <w:rPr>
          <w:rFonts w:hint="eastAsia" w:ascii="仿宋_GB2312" w:hAnsi="ABCDEE-����" w:eastAsia="仿宋_GB2312"/>
          <w:color w:val="000000"/>
          <w:sz w:val="32"/>
          <w:szCs w:val="32"/>
          <w:shd w:val="clear" w:color="auto" w:fill="FFFFFF"/>
          <w:lang w:eastAsia="zh-CN"/>
        </w:rPr>
        <w:t>公开平台</w:t>
      </w:r>
      <w:r>
        <w:rPr>
          <w:rFonts w:ascii="仿宋_GB2312" w:hAnsi="ABCDEE-����" w:eastAsia="仿宋_GB2312"/>
          <w:color w:val="000000"/>
          <w:sz w:val="32"/>
          <w:szCs w:val="32"/>
          <w:shd w:val="clear" w:color="auto" w:fill="FFFFFF"/>
        </w:rPr>
        <w:t>宣传</w:t>
      </w:r>
      <w:r>
        <w:rPr>
          <w:rFonts w:hint="eastAsia" w:ascii="仿宋_GB2312" w:hAnsi="ABCDEE-����" w:eastAsia="仿宋_GB2312"/>
          <w:color w:val="000000"/>
          <w:sz w:val="32"/>
          <w:szCs w:val="32"/>
          <w:shd w:val="clear" w:color="auto" w:fill="FFFFFF"/>
          <w:lang w:eastAsia="zh-CN"/>
        </w:rPr>
        <w:t>阵地</w:t>
      </w:r>
      <w:r>
        <w:rPr>
          <w:rFonts w:ascii="仿宋_GB2312" w:hAnsi="ABCDEE-����" w:eastAsia="仿宋_GB2312"/>
          <w:color w:val="000000"/>
          <w:sz w:val="32"/>
          <w:szCs w:val="32"/>
          <w:shd w:val="clear" w:color="auto" w:fill="FFFFFF"/>
        </w:rPr>
        <w:t>作用，</w:t>
      </w:r>
      <w:r>
        <w:rPr>
          <w:rFonts w:hint="eastAsia" w:ascii="仿宋_GB2312" w:hAnsi="ABCDEE-����" w:eastAsia="仿宋_GB2312"/>
          <w:color w:val="000000"/>
          <w:sz w:val="32"/>
          <w:szCs w:val="32"/>
          <w:shd w:val="clear" w:color="auto" w:fill="FFFFFF"/>
          <w:lang w:eastAsia="zh-CN"/>
        </w:rPr>
        <w:t>不断提高政策解读工作水平</w:t>
      </w:r>
      <w:r>
        <w:rPr>
          <w:rFonts w:hint="eastAsia" w:ascii="仿宋_GB2312" w:hAnsi="Calibri" w:eastAsia="仿宋_GB2312" w:cs="Calibri"/>
          <w:color w:val="000000"/>
          <w:kern w:val="0"/>
          <w:sz w:val="32"/>
          <w:szCs w:val="32"/>
          <w:lang w:val="en-US" w:eastAsia="zh-CN"/>
        </w:rPr>
        <w:t>，保障人民群众更好地了解和监督</w:t>
      </w:r>
      <w:r>
        <w:rPr>
          <w:rFonts w:hint="eastAsia" w:ascii="仿宋_GB2312" w:eastAsia="仿宋_GB2312" w:cs="Calibri"/>
          <w:color w:val="000000"/>
          <w:kern w:val="0"/>
          <w:sz w:val="32"/>
          <w:szCs w:val="32"/>
          <w:lang w:val="en-US" w:eastAsia="zh-CN"/>
        </w:rPr>
        <w:t>发展改革</w:t>
      </w:r>
      <w:r>
        <w:rPr>
          <w:rFonts w:hint="eastAsia" w:ascii="仿宋_GB2312" w:hAnsi="Calibri" w:eastAsia="仿宋_GB2312" w:cs="Calibri"/>
          <w:color w:val="000000"/>
          <w:kern w:val="0"/>
          <w:sz w:val="32"/>
          <w:szCs w:val="32"/>
          <w:lang w:val="en-US" w:eastAsia="zh-CN"/>
        </w:rPr>
        <w:t>工作</w:t>
      </w:r>
      <w:r>
        <w:rPr>
          <w:rFonts w:hint="eastAsia" w:ascii="仿宋_GB2312" w:eastAsia="仿宋_GB2312" w:cs="Calibri"/>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pPr>
      <w:r>
        <w:rPr>
          <w:rFonts w:hint="eastAsia" w:ascii="仿宋_GB2312" w:hAnsi="宋体" w:eastAsia="仿宋_GB2312" w:cs="宋体"/>
          <w:spacing w:val="8"/>
          <w:kern w:val="0"/>
          <w:sz w:val="32"/>
          <w:szCs w:val="32"/>
        </w:rPr>
        <w:t>收取信息处理费情况</w:t>
      </w:r>
      <w:r>
        <w:rPr>
          <w:rFonts w:hint="eastAsia" w:ascii="仿宋_GB2312" w:hAnsi="宋体" w:eastAsia="仿宋_GB2312" w:cs="宋体"/>
          <w:spacing w:val="8"/>
          <w:kern w:val="0"/>
          <w:sz w:val="32"/>
          <w:szCs w:val="32"/>
          <w:lang w:val="en-US" w:eastAsia="zh-CN"/>
        </w:rPr>
        <w:t>,我委未</w:t>
      </w:r>
      <w:r>
        <w:rPr>
          <w:rFonts w:hint="eastAsia" w:ascii="仿宋_GB2312" w:hAnsi="宋体" w:eastAsia="仿宋_GB2312" w:cs="宋体"/>
          <w:spacing w:val="8"/>
          <w:kern w:val="0"/>
          <w:sz w:val="32"/>
          <w:szCs w:val="32"/>
          <w:lang w:eastAsia="zh-CN"/>
        </w:rPr>
        <w:t>发出收费通知</w:t>
      </w:r>
      <w:r>
        <w:rPr>
          <w:rFonts w:hint="eastAsia" w:ascii="仿宋_GB2312" w:hAnsi="宋体" w:eastAsia="仿宋_GB2312" w:cs="宋体"/>
          <w:spacing w:val="8"/>
          <w:kern w:val="0"/>
          <w:sz w:val="32"/>
          <w:szCs w:val="32"/>
          <w:lang w:val="en-US" w:eastAsia="zh-CN"/>
        </w:rPr>
        <w:t>，实际收取0元。</w:t>
      </w:r>
    </w:p>
    <w:sectPr>
      <w:footerReference r:id="rId3" w:type="default"/>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BCDE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YzNjNTI5M2U1NmJlMzQzYTVkMTk1YjY4OWY1MmEifQ=="/>
  </w:docVars>
  <w:rsids>
    <w:rsidRoot w:val="66A9245F"/>
    <w:rsid w:val="017D11CD"/>
    <w:rsid w:val="3FFD8F94"/>
    <w:rsid w:val="57B32DEB"/>
    <w:rsid w:val="66A9245F"/>
    <w:rsid w:val="7BFFDE47"/>
    <w:rsid w:val="7DFC6176"/>
    <w:rsid w:val="D79F8BC1"/>
    <w:rsid w:val="DDFDDC6E"/>
    <w:rsid w:val="FD69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unhideWhenUsed/>
    <w:qFormat/>
    <w:uiPriority w:val="99"/>
    <w:pPr>
      <w:ind w:left="1600" w:leftChars="1600"/>
    </w:p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2022-12-30T18:49:00Z</dcterms:created>
  <dc:creator>lc</dc:creator>
  <cp:lastModifiedBy>asus</cp:lastModifiedBy>
  <cp:lastPrinted>2023-01-13T01:55:00Z</cp:lastPrinted>
  <dcterms:modified xsi:type="dcterms:W3CDTF">2023-05-11T10:01:19Z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93B1D7759DF3486DB6D80EB6C02CD058</vt:lpwstr>
  </property>
</Properties>
</file>