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E85F">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TW" w:eastAsia="zh-CN"/>
        </w:rPr>
        <w:t>北京市</w:t>
      </w:r>
      <w:r>
        <w:rPr>
          <w:rFonts w:hint="eastAsia" w:ascii="方正小标宋简体" w:hAnsi="方正小标宋简体" w:eastAsia="方正小标宋简体" w:cs="方正小标宋简体"/>
          <w:sz w:val="44"/>
          <w:szCs w:val="44"/>
          <w:lang w:val="zh-TW" w:eastAsia="zh-TW"/>
        </w:rPr>
        <w:t>丰台区</w:t>
      </w:r>
      <w:r>
        <w:rPr>
          <w:rFonts w:hint="eastAsia" w:ascii="方正小标宋简体" w:hAnsi="方正小标宋简体" w:eastAsia="方正小标宋简体" w:cs="方正小标宋简体"/>
          <w:sz w:val="44"/>
          <w:szCs w:val="44"/>
          <w:lang w:val="zh-TW"/>
        </w:rPr>
        <w:t>人民</w:t>
      </w:r>
      <w:r>
        <w:rPr>
          <w:rFonts w:hint="eastAsia" w:ascii="方正小标宋简体" w:hAnsi="方正小标宋简体" w:eastAsia="方正小标宋简体" w:cs="方正小标宋简体"/>
          <w:sz w:val="44"/>
          <w:szCs w:val="44"/>
          <w:lang w:val="zh-TW" w:eastAsia="zh-TW"/>
        </w:rPr>
        <w:t>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p>
    <w:p w14:paraId="60E725FD">
      <w:pPr>
        <w:pStyle w:val="7"/>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rPr>
        <w:t>政府</w:t>
      </w:r>
      <w:r>
        <w:rPr>
          <w:rFonts w:hint="eastAsia" w:ascii="方正小标宋简体" w:hAnsi="方正小标宋简体" w:eastAsia="方正小标宋简体" w:cs="方正小标宋简体"/>
          <w:sz w:val="44"/>
          <w:szCs w:val="44"/>
          <w:lang w:val="zh-TW" w:eastAsia="zh-TW"/>
        </w:rPr>
        <w:t>信息公开工作年度报告</w:t>
      </w:r>
    </w:p>
    <w:p w14:paraId="6B4CF071">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zh-TW" w:eastAsia="zh-TW"/>
        </w:rPr>
      </w:pPr>
    </w:p>
    <w:p w14:paraId="24100268">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pPr>
      <w:r>
        <w:rPr>
          <w:rFonts w:hint="eastAsia" w:ascii="仿宋_GB2312" w:hAnsi="仿宋_GB2312" w:eastAsia="仿宋_GB2312" w:cs="仿宋_GB2312"/>
          <w:sz w:val="32"/>
          <w:szCs w:val="32"/>
          <w:lang w:val="zh-TW" w:eastAsia="zh-TW"/>
        </w:rPr>
        <w:t>依据《中华人民共和国政府信息公开条例》</w:t>
      </w:r>
      <w:r>
        <w:rPr>
          <w:rFonts w:hint="eastAsia" w:ascii="仿宋_GB2312" w:hAnsi="仿宋_GB2312" w:eastAsia="仿宋_GB2312" w:cs="仿宋_GB2312"/>
          <w:sz w:val="32"/>
          <w:szCs w:val="32"/>
          <w:lang w:val="zh-TW"/>
        </w:rPr>
        <w:t>（以下简称</w:t>
      </w:r>
      <w:r>
        <w:rPr>
          <w:rFonts w:hint="eastAsia" w:ascii="仿宋_GB2312" w:hAnsi="仿宋_GB2312" w:eastAsia="仿宋_GB2312" w:cs="仿宋_GB2312"/>
          <w:color w:val="000000"/>
          <w:sz w:val="32"/>
          <w:szCs w:val="32"/>
          <w:lang w:val="zh-TW" w:eastAsia="zh-TW"/>
        </w:rPr>
        <w:t>《政府信息公开条例</w:t>
      </w:r>
      <w:r>
        <w:rPr>
          <w:rFonts w:hint="eastAsia" w:ascii="仿宋_GB2312" w:hAnsi="仿宋_GB2312" w:eastAsia="仿宋_GB2312" w:cs="仿宋_GB2312"/>
          <w:color w:val="000000"/>
          <w:sz w:val="32"/>
          <w:szCs w:val="32"/>
          <w:lang w:val="zh-TW"/>
        </w:rPr>
        <w:t>》</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第五十条之规定，</w:t>
      </w:r>
      <w:r>
        <w:rPr>
          <w:rFonts w:hint="eastAsia" w:ascii="仿宋_GB2312" w:hAnsi="仿宋_GB2312" w:eastAsia="仿宋_GB2312" w:cs="仿宋_GB2312"/>
          <w:sz w:val="32"/>
          <w:szCs w:val="32"/>
          <w:lang w:val="zh-TW"/>
        </w:rPr>
        <w:t>制作本报告。</w:t>
      </w:r>
    </w:p>
    <w:p w14:paraId="2E14C0F5">
      <w:pPr>
        <w:keepNext w:val="0"/>
        <w:keepLines w:val="0"/>
        <w:pageBreakBefore w:val="0"/>
        <w:widowControl/>
        <w:kinsoku/>
        <w:wordWrap/>
        <w:overflowPunct/>
        <w:topLinePunct w:val="0"/>
        <w:autoSpaceDE/>
        <w:autoSpaceDN/>
        <w:bidi w:val="0"/>
        <w:adjustRightInd/>
        <w:spacing w:line="560" w:lineRule="exact"/>
        <w:ind w:firstLine="672" w:firstLineChars="200"/>
        <w:jc w:val="left"/>
        <w:textAlignment w:val="auto"/>
        <w:rPr>
          <w:rFonts w:hint="eastAsia" w:ascii="楷体_GB2312" w:hAnsi="楷体_GB2312" w:eastAsia="楷体_GB2312" w:cs="楷体_GB2312"/>
          <w:sz w:val="32"/>
          <w:szCs w:val="32"/>
        </w:rPr>
      </w:pPr>
      <w:r>
        <w:rPr>
          <w:rFonts w:hint="eastAsia" w:ascii="黑体" w:hAnsi="黑体" w:eastAsia="黑体" w:cs="宋体"/>
          <w:spacing w:val="8"/>
          <w:kern w:val="0"/>
          <w:sz w:val="32"/>
          <w:szCs w:val="32"/>
          <w:lang w:val="zh-TW"/>
        </w:rPr>
        <w:t>一、</w:t>
      </w:r>
      <w:r>
        <w:rPr>
          <w:rFonts w:hint="eastAsia" w:ascii="黑体" w:hAnsi="黑体" w:eastAsia="黑体" w:cs="宋体"/>
          <w:spacing w:val="8"/>
          <w:kern w:val="0"/>
          <w:sz w:val="32"/>
          <w:szCs w:val="32"/>
          <w:lang w:val="zh-TW" w:eastAsia="zh-TW"/>
        </w:rPr>
        <w:t>总体情况</w:t>
      </w:r>
    </w:p>
    <w:p w14:paraId="47018A5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（一）聚焦平台建设，深化主动公开</w:t>
      </w:r>
    </w:p>
    <w:p w14:paraId="28C6E19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2024年，丰台区人民政府网站围绕加强运维管理和建设，围绕企业群众重点关注和使用感受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全面深化拓展网站公开内容</w:t>
      </w:r>
      <w:r>
        <w:rPr>
          <w:rFonts w:hint="eastAsia" w:ascii="Times New Roman" w:hAnsi="Times New Roman" w:eastAsia="仿宋_GB2312" w:cs="Times New Roman"/>
          <w:sz w:val="32"/>
          <w:szCs w:val="32"/>
        </w:rPr>
        <w:t>维度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不断</w:t>
      </w:r>
      <w:r>
        <w:rPr>
          <w:rFonts w:ascii="Times New Roman" w:hAnsi="Times New Roman" w:eastAsia="仿宋_GB2312" w:cs="Times New Roman"/>
          <w:sz w:val="32"/>
          <w:szCs w:val="32"/>
        </w:rPr>
        <w:t>创新策划</w:t>
      </w:r>
      <w:r>
        <w:rPr>
          <w:rFonts w:ascii="Times New Roman" w:hAnsi="Times New Roman" w:eastAsia="仿宋_GB2312" w:cs="Times New Roman"/>
          <w:color w:val="000000" w:themeColor="text1"/>
          <w:sz w:val="32"/>
          <w:szCs w:val="32"/>
          <w14:textFill>
            <w14:solidFill>
              <w14:schemeClr w14:val="tx1"/>
            </w14:solidFill>
          </w14:textFill>
        </w:rPr>
        <w:t>专题专栏</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场景化搜索服务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等专题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推出“南中轴政务会客厅”创新专栏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汇聚各专区57个高频事项，实现一键直达办理</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推动政府网站和政务新媒体平台一体化服务，推选9个区级优秀账号在网站“新媒体热点推荐”专题展示，提升融合宣传效果。</w:t>
      </w:r>
    </w:p>
    <w:p w14:paraId="7D431F94">
      <w:pPr>
        <w:numPr>
          <w:ilvl w:val="0"/>
          <w:numId w:val="1"/>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加强政策宣传，打造阳光政府。</w:t>
      </w:r>
    </w:p>
    <w:p w14:paraId="779D20E2">
      <w:pPr>
        <w:numPr>
          <w:ilvl w:val="0"/>
          <w:numId w:val="0"/>
        </w:num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全区各单位主动公开信息19060条，丰台区政府门户网站浏览量累计达到447万次。</w:t>
      </w:r>
      <w:r>
        <w:rPr>
          <w:rFonts w:hint="eastAsia" w:ascii="Times New Roman" w:hAnsi="Times New Roman" w:eastAsia="仿宋_GB2312" w:cs="Times New Roman"/>
          <w:sz w:val="32"/>
          <w:szCs w:val="32"/>
        </w:rPr>
        <w:t>深度分析</w:t>
      </w:r>
      <w:r>
        <w:rPr>
          <w:rFonts w:ascii="Times New Roman" w:hAnsi="Times New Roman" w:eastAsia="仿宋_GB2312" w:cs="Times New Roman"/>
          <w:sz w:val="32"/>
          <w:szCs w:val="32"/>
        </w:rPr>
        <w:t>网站用户整体访问、网民互动、区长信箱</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三个方面</w:t>
      </w:r>
      <w:r>
        <w:rPr>
          <w:rFonts w:hint="eastAsia" w:ascii="Times New Roman" w:hAnsi="Times New Roman" w:eastAsia="仿宋_GB2312" w:cs="Times New Roman"/>
          <w:sz w:val="32"/>
          <w:szCs w:val="32"/>
        </w:rPr>
        <w:t>，形成</w:t>
      </w:r>
      <w:r>
        <w:rPr>
          <w:rFonts w:ascii="Times New Roman" w:hAnsi="Times New Roman" w:eastAsia="仿宋_GB2312" w:cs="Times New Roman"/>
          <w:sz w:val="32"/>
          <w:szCs w:val="32"/>
        </w:rPr>
        <w:t>《北京市丰台区政务服务和数据管理局关于北京市丰台区人民政府门户网站2024年上半年网民访问情况的报告》。</w:t>
      </w:r>
    </w:p>
    <w:p w14:paraId="6400FAC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）聚焦民生关怀，拓展互动渠道</w:t>
      </w:r>
    </w:p>
    <w:p w14:paraId="4B394DE5">
      <w:p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打造政民互动新形式。持续汇聚丰台人才，开展“学子回家”活动，</w:t>
      </w:r>
      <w:r>
        <w:rPr>
          <w:rFonts w:hint="eastAsia" w:ascii="仿宋_GB2312" w:hAnsi="仿宋_GB2312" w:eastAsia="仿宋_GB2312" w:cs="仿宋_GB2312"/>
          <w:color w:val="000000"/>
          <w:sz w:val="32"/>
          <w:szCs w:val="32"/>
        </w:rPr>
        <w:t>吸纳来自北京大学、北京航空航天大学等多所高校的近70位优秀学子</w:t>
      </w:r>
      <w:r>
        <w:rPr>
          <w:rFonts w:hint="eastAsia" w:ascii="仿宋_GB2312" w:hAnsi="仿宋_GB2312" w:eastAsia="仿宋_GB2312" w:cs="仿宋_GB2312"/>
          <w:sz w:val="32"/>
          <w:szCs w:val="32"/>
        </w:rPr>
        <w:t>到丰台体验政务工作、汇集创新思想；不断充实“丰台区社会观察员”队伍，会同发改委、工商联等部门，通过“政务开放日”等方式，开展企业群众政策需求征集工作，累计接待各领域“体验官”150余人，切实体现“公众点菜、政府端菜”的工作导向。</w:t>
      </w:r>
    </w:p>
    <w:p w14:paraId="45AF463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）聚焦依法行政，规范信息公开</w:t>
      </w:r>
    </w:p>
    <w:p w14:paraId="373165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依法依规办理区政府依申请公开工作。区政府信息公开大厅通过网页、邮寄、当面、传真等多种形式高效受理办理依申请公开580件。坚守法律底线，保障群众合法权益，在涉及信息公开的39件行政复议和1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件行政诉讼中，未出现败诉情况。</w:t>
      </w:r>
    </w:p>
    <w:p w14:paraId="37AD888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）聚焦自身建设，完善审查机制</w:t>
      </w:r>
    </w:p>
    <w:p w14:paraId="54C16A1A">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开展常态化、针对性检查。核对全区各单位重点领域政务公开清单，进行依申请公开办理测试，通过电子邮件申请、网页申请、邮寄申请等多种途径对68个责任单位</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；开展对外联系电话1次接通率检查及日通报工作。</w:t>
      </w:r>
    </w:p>
    <w:p w14:paraId="7EC488C2">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5"/>
        <w:tblpPr w:leftFromText="180" w:rightFromText="180" w:vertAnchor="text" w:horzAnchor="page" w:tblpX="1184" w:tblpY="32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6655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B332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2B61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7E43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42AD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6CB9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CFEA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1016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0066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8672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9E56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B37F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14:paraId="260E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99F9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123A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color w:val="000000"/>
                <w:kern w:val="0"/>
                <w:sz w:val="20"/>
                <w:szCs w:val="20"/>
                <w:lang w:val="en-US" w:eastAsia="zh-CN" w:bidi="ar"/>
              </w:rPr>
              <w:t>26</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302D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5</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42EC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249</w:t>
            </w:r>
          </w:p>
        </w:tc>
      </w:tr>
      <w:tr w14:paraId="0232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9A47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362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932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7E23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066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C9F8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8C09134">
            <w:pPr>
              <w:keepNext w:val="0"/>
              <w:keepLines w:val="0"/>
              <w:widowControl/>
              <w:suppressLineNumbers w:val="0"/>
              <w:pBdr>
                <w:top w:val="none" w:color="auto" w:sz="0" w:space="0"/>
                <w:left w:val="none" w:color="auto" w:sz="0" w:space="0"/>
                <w:bottom w:val="none" w:color="auto" w:sz="0" w:space="0"/>
                <w:right w:val="none" w:color="auto" w:sz="0" w:space="0"/>
              </w:pBdr>
              <w:tabs>
                <w:tab w:val="left" w:pos="1983"/>
              </w:tabs>
              <w:spacing w:before="0" w:beforeAutospacing="0" w:after="0" w:afterAutospacing="0"/>
              <w:ind w:left="0" w:right="0"/>
              <w:jc w:val="left"/>
              <w:rPr>
                <w:rFonts w:hint="default"/>
                <w:lang w:val="en-US"/>
              </w:rPr>
            </w:pPr>
            <w:r>
              <w:rPr>
                <w:rFonts w:hint="eastAsia" w:asciiTheme="minorEastAsia" w:hAnsiTheme="minorEastAsia" w:eastAsiaTheme="minorEastAsia" w:cstheme="minorEastAsia"/>
                <w:kern w:val="0"/>
                <w:sz w:val="20"/>
                <w:szCs w:val="20"/>
                <w:lang w:val="en-US" w:eastAsia="zh-CN" w:bidi="ar"/>
              </w:rPr>
              <w:t>111620</w:t>
            </w:r>
          </w:p>
        </w:tc>
      </w:tr>
      <w:tr w14:paraId="3F9E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D95B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1ADD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C121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3560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4686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C0AC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A2B5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32197</w:t>
            </w:r>
          </w:p>
        </w:tc>
      </w:tr>
      <w:tr w14:paraId="3E9E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178F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5454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57　</w:t>
            </w:r>
          </w:p>
        </w:tc>
      </w:tr>
      <w:tr w14:paraId="1F64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B822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795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57ED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053FE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2A00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AE1F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E5770E9">
            <w:pPr>
              <w:rPr>
                <w:rFonts w:hint="eastAsia" w:ascii="宋体"/>
                <w:sz w:val="24"/>
                <w:szCs w:val="24"/>
              </w:rPr>
            </w:pPr>
            <w:r>
              <w:rPr>
                <w:rFonts w:hint="eastAsia" w:asciiTheme="minorEastAsia" w:hAnsiTheme="minorEastAsia" w:eastAsiaTheme="minorEastAsia" w:cstheme="minorEastAsia"/>
                <w:sz w:val="20"/>
                <w:szCs w:val="20"/>
              </w:rPr>
              <w:t>13274.5422</w:t>
            </w:r>
          </w:p>
        </w:tc>
      </w:tr>
    </w:tbl>
    <w:p w14:paraId="51845856">
      <w:pPr>
        <w:pStyle w:val="2"/>
        <w:numPr>
          <w:ilvl w:val="0"/>
          <w:numId w:val="0"/>
        </w:numPr>
        <w:rPr>
          <w:rFonts w:hint="eastAsia"/>
        </w:rPr>
      </w:pPr>
    </w:p>
    <w:p w14:paraId="6A3C2FC5">
      <w:pPr>
        <w:numPr>
          <w:ilvl w:val="0"/>
          <w:numId w:val="2"/>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5EF9A2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2"/>
        <w:gridCol w:w="3203"/>
        <w:gridCol w:w="700"/>
        <w:gridCol w:w="693"/>
        <w:gridCol w:w="686"/>
        <w:gridCol w:w="686"/>
        <w:gridCol w:w="686"/>
        <w:gridCol w:w="686"/>
        <w:gridCol w:w="700"/>
      </w:tblGrid>
      <w:tr w14:paraId="616F0E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2AA2B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55338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4FBA03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6521C77">
            <w:pPr>
              <w:jc w:val="cente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0B019A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A8AB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2C9B5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D090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2C780270">
            <w:pPr>
              <w:jc w:val="cente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7524C759">
            <w:pPr>
              <w:jc w:val="center"/>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3472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3FA03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23998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1A2BD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6302D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49C25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518A6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2DD7FD45">
            <w:pPr>
              <w:jc w:val="center"/>
              <w:rPr>
                <w:rFonts w:hint="eastAsia" w:ascii="宋体"/>
                <w:sz w:val="24"/>
                <w:szCs w:val="24"/>
              </w:rPr>
            </w:pPr>
          </w:p>
        </w:tc>
      </w:tr>
      <w:tr w14:paraId="3CC5A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1514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0272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2344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1BE3A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135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E4008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C6CCD8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E7BFB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68444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7C095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2486</w:t>
            </w:r>
          </w:p>
        </w:tc>
      </w:tr>
      <w:tr w14:paraId="62F5B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5BB6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F00B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139</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E6CCFE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1A30BB">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27122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D592C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92C936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B5AF7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145</w:t>
            </w:r>
          </w:p>
        </w:tc>
      </w:tr>
      <w:tr w14:paraId="4EFF1C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8ABC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7822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73A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343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5896CE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36341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87359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9078F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661CBE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2</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0787AE4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359</w:t>
            </w:r>
          </w:p>
        </w:tc>
      </w:tr>
      <w:tr w14:paraId="34D9C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90686AB">
            <w:pPr>
              <w:jc w:val="cente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9476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442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138</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48734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491A7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2B0BB4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1B6EB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6C030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6FA47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148</w:t>
            </w:r>
          </w:p>
        </w:tc>
      </w:tr>
      <w:tr w14:paraId="6CBF59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30CA64D">
            <w:pPr>
              <w:jc w:val="cente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1809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1267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471D1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E7FE7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9E63A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FCF2B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3A40CE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236051">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790BBEB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r>
      <w:tr w14:paraId="30C278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B169398">
            <w:pPr>
              <w:jc w:val="cente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8BEF553">
            <w:pPr>
              <w:jc w:val="cente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019F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750A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56B709">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6CFFFE">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8FD88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1BD4D1">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0BCFDB">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59F24B">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4</w:t>
            </w:r>
          </w:p>
        </w:tc>
      </w:tr>
      <w:tr w14:paraId="0DAF77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CF9FDB2">
            <w:pPr>
              <w:jc w:val="cente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AF95423">
            <w:pPr>
              <w:jc w:val="cente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B823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4D29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389777">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1B0D9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F52AC0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25A513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727CDD9">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C1CDD03">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r>
      <w:tr w14:paraId="215E4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576A4B">
            <w:pPr>
              <w:jc w:val="cente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C0055E4">
            <w:pPr>
              <w:jc w:val="cente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F565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AAFF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kern w:val="0"/>
                <w:sz w:val="20"/>
                <w:szCs w:val="20"/>
                <w:lang w:val="en-US" w:eastAsia="zh-CN" w:bidi="ar"/>
              </w:rPr>
              <w:t>10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BF2BDF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3B6D5A">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00E81D">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98CD1A">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46F48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D86E7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10</w:t>
            </w:r>
          </w:p>
        </w:tc>
      </w:tr>
      <w:tr w14:paraId="6E68D7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C26AB76">
            <w:pPr>
              <w:jc w:val="cente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39E6F36">
            <w:pPr>
              <w:jc w:val="cente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7C54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1320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63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E9CE5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9A8C0DB">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827E99">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D9E39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35A5DF">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C1BF2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63</w:t>
            </w:r>
          </w:p>
        </w:tc>
      </w:tr>
      <w:tr w14:paraId="4DFCD1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1EA0AE6">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760260C">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CFE3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56F2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27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7E0A3F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F2A5B5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3DCE88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D2825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7224C7">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DA366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27</w:t>
            </w:r>
          </w:p>
        </w:tc>
      </w:tr>
      <w:tr w14:paraId="431E84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AB2D54C">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47F572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47C1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0832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136</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5A708A">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230EE8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CF00C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2C7D0E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531C9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CE3E6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138</w:t>
            </w:r>
          </w:p>
        </w:tc>
      </w:tr>
      <w:tr w14:paraId="1BB5A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362663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AF7267D">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8582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2F61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35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F719C7">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1F80C3">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ECCD73">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5FB39A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651ED6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0AB47D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35</w:t>
            </w:r>
          </w:p>
        </w:tc>
      </w:tr>
      <w:tr w14:paraId="2A407B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1A62102">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8426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E43C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6D13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1387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A17D8D">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110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8E006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0A852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0DA34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338B5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087CA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1498</w:t>
            </w:r>
          </w:p>
        </w:tc>
      </w:tr>
      <w:tr w14:paraId="558E4B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9ACFCCF">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DF98AB8">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DB0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75D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34F224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00E42B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1CF92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D20DBC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4D9B61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D7F28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5</w:t>
            </w:r>
          </w:p>
        </w:tc>
      </w:tr>
      <w:tr w14:paraId="5910CE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554E58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0DBDEDC">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A7A4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E298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4ACD571">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B9647A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088FD8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E0054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B55C25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D6112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r>
      <w:tr w14:paraId="09B70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064CFF0">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7F9A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B44B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5F9C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C2BB1B">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C3C29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E0788D">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51DA22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6AB70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2C2C2BE">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10</w:t>
            </w:r>
          </w:p>
        </w:tc>
      </w:tr>
      <w:tr w14:paraId="3A50A5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AD6E592">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04E66FE">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9905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BA38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5E9A4B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90DF390">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F9BCE7">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C17415">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CA28F17">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A1AE3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7</w:t>
            </w:r>
          </w:p>
        </w:tc>
      </w:tr>
      <w:tr w14:paraId="47BC4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A9B28AA">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CB16914">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5BAD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1673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73C869F">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F41AB8A">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1171C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52A47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6BBBC9">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17622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w:t>
            </w:r>
          </w:p>
        </w:tc>
      </w:tr>
      <w:tr w14:paraId="065BB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AD9EA91">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8A98B1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239D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9D05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23062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9F91F3B">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BC49389">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1C8EC2">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33053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EFB39BE">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r>
      <w:tr w14:paraId="02F20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49F37FC">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82D67D4">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4469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14:paraId="120053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bidi="ar"/>
              </w:rPr>
            </w:pPr>
          </w:p>
          <w:p w14:paraId="79BDE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3</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5D781FA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53DCB4F4">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2F0935A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140D4A20">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29B87EE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01DC5726">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3</w:t>
            </w:r>
          </w:p>
        </w:tc>
      </w:tr>
      <w:tr w14:paraId="5924C8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FC40495">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4B941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E7EF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9689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D2C737E">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B745D3F">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ADA33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7C04A2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84A8A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C29C12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17</w:t>
            </w:r>
          </w:p>
        </w:tc>
      </w:tr>
      <w:tr w14:paraId="005FB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40A68E1">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E8FF855">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0A7D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0D6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EDE56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F7A50F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A3A2F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174D9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93E7D6D">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9DB852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w:t>
            </w:r>
          </w:p>
        </w:tc>
      </w:tr>
      <w:tr w14:paraId="08D991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9FAD5FD">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666FD5E9">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4787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3A6B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lang w:val="en-US"/>
              </w:rPr>
            </w:pPr>
            <w:r>
              <w:rPr>
                <w:rFonts w:hint="eastAsia" w:ascii="宋体" w:hAnsi="宋体" w:eastAsia="宋体" w:cs="宋体"/>
                <w:kern w:val="0"/>
                <w:sz w:val="20"/>
                <w:szCs w:val="20"/>
                <w:lang w:val="en-US" w:eastAsia="zh-CN" w:bidi="ar"/>
              </w:rPr>
              <w:t>123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83FD0D5">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8A2399C">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3BF5B75">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FDEFCF">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72A77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4EBA5B">
            <w:pPr>
              <w:keepNext w:val="0"/>
              <w:keepLines w:val="0"/>
              <w:widowControl/>
              <w:suppressLineNumbers w:val="0"/>
              <w:jc w:val="center"/>
              <w:textAlignment w:val="center"/>
              <w:rPr>
                <w:rFonts w:hint="default"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124</w:t>
            </w:r>
          </w:p>
        </w:tc>
      </w:tr>
      <w:tr w14:paraId="311A0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C16E172">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1F88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7BA0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0"/>
                <w:sz w:val="20"/>
                <w:szCs w:val="20"/>
                <w:lang w:val="en-US" w:eastAsia="zh-CN" w:bidi="ar"/>
              </w:rPr>
              <w:t>2307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405CD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133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ED79ED">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39551C8">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D4CDD5">
            <w:pPr>
              <w:keepNext w:val="0"/>
              <w:keepLines w:val="0"/>
              <w:widowControl/>
              <w:suppressLineNumbers w:val="0"/>
              <w:jc w:val="center"/>
              <w:textAlignment w:val="center"/>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6A68E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147DE9">
            <w:pPr>
              <w:keepNext w:val="0"/>
              <w:keepLines w:val="0"/>
              <w:widowControl/>
              <w:suppressLineNumbers w:val="0"/>
              <w:jc w:val="center"/>
              <w:textAlignment w:val="center"/>
              <w:rPr>
                <w:rFonts w:hint="default"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2450</w:t>
            </w:r>
            <w:bookmarkStart w:id="0" w:name="_GoBack"/>
            <w:bookmarkEnd w:id="0"/>
          </w:p>
        </w:tc>
      </w:tr>
      <w:tr w14:paraId="749BB3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BA78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14:paraId="633EC19E">
            <w:pPr>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176</w:t>
            </w:r>
          </w:p>
        </w:tc>
        <w:tc>
          <w:tcPr>
            <w:tcW w:w="685" w:type="dxa"/>
            <w:tcBorders>
              <w:top w:val="outset" w:color="auto" w:sz="6" w:space="0"/>
              <w:left w:val="nil"/>
              <w:bottom w:val="outset" w:color="auto" w:sz="6" w:space="0"/>
              <w:right w:val="outset" w:color="auto" w:sz="6" w:space="0"/>
            </w:tcBorders>
            <w:noWrap w:val="0"/>
            <w:vAlign w:val="center"/>
          </w:tcPr>
          <w:p w14:paraId="6B0E1CE5">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93" w:type="dxa"/>
            <w:tcBorders>
              <w:top w:val="outset" w:color="auto" w:sz="6" w:space="0"/>
              <w:left w:val="nil"/>
              <w:bottom w:val="outset" w:color="auto" w:sz="6" w:space="0"/>
              <w:right w:val="outset" w:color="auto" w:sz="6" w:space="0"/>
            </w:tcBorders>
            <w:noWrap w:val="0"/>
            <w:vAlign w:val="center"/>
          </w:tcPr>
          <w:p w14:paraId="0A646085">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693" w:type="dxa"/>
            <w:tcBorders>
              <w:top w:val="outset" w:color="auto" w:sz="6" w:space="0"/>
              <w:left w:val="nil"/>
              <w:bottom w:val="outset" w:color="auto" w:sz="6" w:space="0"/>
              <w:right w:val="outset" w:color="auto" w:sz="6" w:space="0"/>
            </w:tcBorders>
            <w:noWrap w:val="0"/>
            <w:vAlign w:val="center"/>
          </w:tcPr>
          <w:p w14:paraId="3BCF33B9">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685" w:type="dxa"/>
            <w:tcBorders>
              <w:top w:val="outset" w:color="auto" w:sz="6" w:space="0"/>
              <w:left w:val="nil"/>
              <w:bottom w:val="outset" w:color="auto" w:sz="6" w:space="0"/>
              <w:right w:val="outset" w:color="auto" w:sz="6" w:space="0"/>
            </w:tcBorders>
            <w:noWrap w:val="0"/>
            <w:vAlign w:val="center"/>
          </w:tcPr>
          <w:p w14:paraId="3504EE88">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686" w:type="dxa"/>
            <w:tcBorders>
              <w:top w:val="outset" w:color="auto" w:sz="6" w:space="0"/>
              <w:left w:val="nil"/>
              <w:bottom w:val="outset" w:color="auto" w:sz="6" w:space="0"/>
              <w:right w:val="outset" w:color="auto" w:sz="6" w:space="0"/>
            </w:tcBorders>
            <w:noWrap w:val="0"/>
            <w:vAlign w:val="center"/>
          </w:tcPr>
          <w:p w14:paraId="0E86A0F3">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01" w:type="dxa"/>
            <w:tcBorders>
              <w:top w:val="outset" w:color="auto" w:sz="6" w:space="0"/>
              <w:left w:val="nil"/>
              <w:bottom w:val="outset" w:color="auto" w:sz="6" w:space="0"/>
              <w:right w:val="outset" w:color="auto" w:sz="6" w:space="0"/>
            </w:tcBorders>
            <w:noWrap w:val="0"/>
            <w:vAlign w:val="center"/>
          </w:tcPr>
          <w:p w14:paraId="1D2016EB">
            <w:pPr>
              <w:keepNext w:val="0"/>
              <w:keepLines w:val="0"/>
              <w:widowControl/>
              <w:suppressLineNumbers w:val="0"/>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181</w:t>
            </w:r>
          </w:p>
        </w:tc>
      </w:tr>
    </w:tbl>
    <w:p w14:paraId="61D86467">
      <w:pPr>
        <w:pStyle w:val="2"/>
        <w:numPr>
          <w:ilvl w:val="0"/>
          <w:numId w:val="0"/>
        </w:numPr>
        <w:rPr>
          <w:rFonts w:hint="eastAsia"/>
        </w:rPr>
      </w:pPr>
    </w:p>
    <w:p w14:paraId="755D3B68">
      <w:pPr>
        <w:spacing w:line="560" w:lineRule="exact"/>
        <w:ind w:firstLine="640" w:firstLineChars="200"/>
        <w:rPr>
          <w:rFonts w:hint="eastAsia" w:ascii="黑体" w:hAnsi="黑体" w:eastAsia="黑体" w:cs="黑体"/>
          <w:sz w:val="32"/>
          <w:szCs w:val="32"/>
        </w:rPr>
      </w:pPr>
    </w:p>
    <w:p w14:paraId="29DE6F4B">
      <w:pPr>
        <w:spacing w:line="560" w:lineRule="exact"/>
        <w:ind w:firstLine="640" w:firstLineChars="200"/>
        <w:rPr>
          <w:rFonts w:hint="eastAsia" w:ascii="黑体" w:hAnsi="黑体" w:eastAsia="黑体" w:cs="黑体"/>
          <w:sz w:val="32"/>
          <w:szCs w:val="32"/>
        </w:rPr>
      </w:pPr>
    </w:p>
    <w:p w14:paraId="775B70D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319BE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19EFE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14ECD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9B16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3B6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0587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566D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CD7F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32E8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14DA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5EC2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1E60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7E9970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E0EE440">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CE4687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9881AC">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78A62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FAD384">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B65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A62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D95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911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6D1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EA0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41D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560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7EC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CDD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1593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762C53">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86</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8B9507">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8</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0B38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7713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06CAD6">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130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5A88DF">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15</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090483">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2</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951A53">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4</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A274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7D1B81">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22</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3E0B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F8B03B">
            <w:pPr>
              <w:keepNext w:val="0"/>
              <w:keepLines w:val="0"/>
              <w:widowControl/>
              <w:suppressLineNumbers w:val="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3</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4939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4A79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01B898">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000000"/>
                <w:kern w:val="0"/>
                <w:sz w:val="20"/>
                <w:szCs w:val="20"/>
                <w:u w:val="none"/>
                <w:lang w:val="en-US" w:eastAsia="zh-CN" w:bidi="ar"/>
              </w:rPr>
              <w:t>33</w:t>
            </w:r>
          </w:p>
        </w:tc>
      </w:tr>
    </w:tbl>
    <w:p w14:paraId="16095529">
      <w:pPr>
        <w:pStyle w:val="2"/>
      </w:pPr>
    </w:p>
    <w:p w14:paraId="7F4A72FC">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CEE1C07">
      <w:pPr>
        <w:spacing w:line="540" w:lineRule="exact"/>
        <w:ind w:firstLine="672" w:firstLineChars="200"/>
        <w:rPr>
          <w:rFonts w:hint="eastAsia" w:ascii="仿宋_GB2312" w:eastAsia="仿宋_GB2312"/>
        </w:rPr>
      </w:pPr>
      <w:r>
        <w:rPr>
          <w:rFonts w:hint="eastAsia" w:ascii="仿宋_GB2312" w:hAnsi="宋体" w:eastAsia="仿宋_GB2312" w:cs="宋体"/>
          <w:spacing w:val="8"/>
          <w:kern w:val="0"/>
          <w:sz w:val="32"/>
          <w:szCs w:val="32"/>
          <w:lang w:bidi="ar"/>
        </w:rPr>
        <w:t>一是</w:t>
      </w:r>
      <w:r>
        <w:rPr>
          <w:rFonts w:hint="eastAsia" w:ascii="仿宋_GB2312" w:eastAsia="仿宋_GB2312"/>
          <w:snapToGrid w:val="0"/>
          <w:kern w:val="0"/>
          <w:sz w:val="32"/>
          <w:szCs w:val="32"/>
        </w:rPr>
        <w:t>强化依申请公开会商机制。进一步加大统筹办理疑难复杂申请件的力度，在遇到意义重大、内容敏感，涉及部门多、事件复杂的政府信息申请时及时启动会商，稳妥处理申请。加强与司法机关的沟通，</w:t>
      </w:r>
      <w:r>
        <w:rPr>
          <w:rFonts w:hint="eastAsia" w:ascii="仿宋_GB2312" w:hAnsi="宋体" w:eastAsia="仿宋_GB2312" w:cs="宋体"/>
          <w:spacing w:val="8"/>
          <w:kern w:val="0"/>
          <w:sz w:val="32"/>
          <w:szCs w:val="32"/>
          <w:lang w:bidi="ar"/>
        </w:rPr>
        <w:t>提升法律意识、程序意识，规范依申请公开工作流程，全面提升政府信息依申请公开工作水平，依法作出信息公开答复。</w:t>
      </w:r>
    </w:p>
    <w:p w14:paraId="78E72816">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二</w:t>
      </w:r>
      <w:r>
        <w:rPr>
          <w:rFonts w:hint="eastAsia" w:ascii="仿宋_GB2312" w:hAnsi="宋体" w:eastAsia="仿宋_GB2312" w:cs="宋体"/>
          <w:spacing w:val="8"/>
          <w:kern w:val="0"/>
          <w:sz w:val="32"/>
          <w:szCs w:val="32"/>
        </w:rPr>
        <w:t>是</w:t>
      </w:r>
      <w:r>
        <w:rPr>
          <w:rFonts w:eastAsia="仿宋_GB2312"/>
          <w:sz w:val="32"/>
          <w:szCs w:val="32"/>
        </w:rPr>
        <w:t>推动政府网站创新发展</w:t>
      </w:r>
      <w:r>
        <w:rPr>
          <w:rFonts w:hint="eastAsia" w:eastAsia="仿宋_GB2312"/>
          <w:sz w:val="32"/>
          <w:szCs w:val="32"/>
        </w:rPr>
        <w:t>。</w:t>
      </w:r>
      <w:r>
        <w:rPr>
          <w:rFonts w:hint="eastAsia" w:ascii="仿宋_GB2312" w:hAnsi="宋体" w:eastAsia="仿宋_GB2312" w:cs="宋体"/>
          <w:spacing w:val="8"/>
          <w:kern w:val="0"/>
          <w:sz w:val="32"/>
          <w:szCs w:val="32"/>
        </w:rPr>
        <w:t>进一步加强平台管理，不断拓宽政企政民互动渠道，提升优化群众网上服务体验有待</w:t>
      </w:r>
      <w:r>
        <w:rPr>
          <w:rFonts w:hint="eastAsia" w:eastAsia="仿宋_GB2312"/>
          <w:bCs/>
          <w:sz w:val="32"/>
          <w:szCs w:val="32"/>
        </w:rPr>
        <w:t>，</w:t>
      </w:r>
      <w:r>
        <w:rPr>
          <w:rFonts w:eastAsia="仿宋_GB2312"/>
          <w:bCs/>
          <w:sz w:val="32"/>
          <w:szCs w:val="32"/>
        </w:rPr>
        <w:t>充分利用政务公开、办事服务、互动回应等功能模块，</w:t>
      </w:r>
      <w:r>
        <w:rPr>
          <w:rFonts w:hint="eastAsia" w:eastAsia="仿宋_GB2312"/>
          <w:bCs/>
          <w:sz w:val="32"/>
          <w:szCs w:val="32"/>
        </w:rPr>
        <w:t>分析用户画像，</w:t>
      </w:r>
      <w:r>
        <w:rPr>
          <w:rFonts w:eastAsia="仿宋_GB2312"/>
          <w:bCs/>
          <w:sz w:val="32"/>
          <w:szCs w:val="32"/>
        </w:rPr>
        <w:t>持续优化网站</w:t>
      </w:r>
      <w:r>
        <w:rPr>
          <w:rFonts w:hint="eastAsia" w:eastAsia="仿宋_GB2312"/>
          <w:bCs/>
          <w:sz w:val="32"/>
          <w:szCs w:val="32"/>
        </w:rPr>
        <w:t>服务功能</w:t>
      </w:r>
      <w:r>
        <w:rPr>
          <w:rFonts w:eastAsia="仿宋_GB2312"/>
          <w:bCs/>
          <w:sz w:val="32"/>
          <w:szCs w:val="32"/>
        </w:rPr>
        <w:t>，提升网上履职能力和服务水平。</w:t>
      </w:r>
    </w:p>
    <w:p w14:paraId="65346975">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ascii="黑体" w:hAnsi="黑体" w:eastAsia="黑体" w:cs="宋体"/>
          <w:spacing w:val="8"/>
          <w:kern w:val="0"/>
          <w:sz w:val="32"/>
          <w:szCs w:val="32"/>
        </w:rPr>
      </w:pPr>
      <w:r>
        <w:rPr>
          <w:rFonts w:hint="eastAsia" w:ascii="黑体" w:hAnsi="黑体" w:eastAsia="黑体" w:cs="宋体"/>
          <w:spacing w:val="8"/>
          <w:kern w:val="0"/>
          <w:sz w:val="32"/>
          <w:szCs w:val="32"/>
        </w:rPr>
        <w:t>六、其他需要报告的事项</w:t>
      </w:r>
    </w:p>
    <w:p w14:paraId="7FE58DD7">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72" w:firstLineChars="200"/>
        <w:textAlignment w:val="auto"/>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202</w:t>
      </w: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rPr>
        <w:t>年丰台区共发出收费通知</w:t>
      </w:r>
      <w:r>
        <w:rPr>
          <w:rFonts w:hint="eastAsia" w:ascii="仿宋_GB2312" w:hAnsi="仿宋_GB2312" w:eastAsia="仿宋_GB2312" w:cs="仿宋_GB2312"/>
          <w:spacing w:val="8"/>
          <w:sz w:val="32"/>
          <w:szCs w:val="32"/>
          <w:highlight w:val="none"/>
          <w:lang w:val="en-US" w:eastAsia="zh-CN"/>
        </w:rPr>
        <w:t>1</w:t>
      </w:r>
      <w:r>
        <w:rPr>
          <w:rFonts w:hint="eastAsia" w:ascii="仿宋_GB2312" w:hAnsi="仿宋_GB2312" w:eastAsia="仿宋_GB2312" w:cs="仿宋_GB2312"/>
          <w:spacing w:val="8"/>
          <w:sz w:val="32"/>
          <w:szCs w:val="32"/>
          <w:highlight w:val="none"/>
        </w:rPr>
        <w:t>件，总金额为</w:t>
      </w:r>
      <w:r>
        <w:rPr>
          <w:rFonts w:hint="eastAsia" w:ascii="仿宋_GB2312" w:hAnsi="仿宋_GB2312" w:eastAsia="仿宋_GB2312" w:cs="仿宋_GB2312"/>
          <w:spacing w:val="8"/>
          <w:sz w:val="32"/>
          <w:szCs w:val="32"/>
          <w:highlight w:val="none"/>
          <w:lang w:val="en-US" w:eastAsia="zh-CN"/>
        </w:rPr>
        <w:t>180</w:t>
      </w:r>
      <w:r>
        <w:rPr>
          <w:rFonts w:hint="eastAsia" w:ascii="仿宋_GB2312" w:hAnsi="仿宋_GB2312" w:eastAsia="仿宋_GB2312" w:cs="仿宋_GB2312"/>
          <w:spacing w:val="8"/>
          <w:sz w:val="32"/>
          <w:szCs w:val="32"/>
          <w:highlight w:val="none"/>
        </w:rPr>
        <w:t>元；实际收取的总金额为</w:t>
      </w:r>
      <w:r>
        <w:rPr>
          <w:rFonts w:hint="eastAsia" w:ascii="仿宋_GB2312" w:hAnsi="仿宋_GB2312" w:eastAsia="仿宋_GB2312" w:cs="仿宋_GB2312"/>
          <w:spacing w:val="8"/>
          <w:sz w:val="32"/>
          <w:szCs w:val="32"/>
          <w:highlight w:val="none"/>
          <w:lang w:val="en-US" w:eastAsia="zh-CN"/>
        </w:rPr>
        <w:t>0</w:t>
      </w:r>
      <w:r>
        <w:rPr>
          <w:rFonts w:hint="eastAsia" w:ascii="仿宋_GB2312" w:hAnsi="仿宋_GB2312" w:eastAsia="仿宋_GB2312" w:cs="仿宋_GB2312"/>
          <w:spacing w:val="8"/>
          <w:sz w:val="32"/>
          <w:szCs w:val="32"/>
          <w:highlight w:val="none"/>
        </w:rPr>
        <w:t>元。</w:t>
      </w:r>
    </w:p>
    <w:p w14:paraId="4A9D5158">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北京市丰台区人民政府门户网站，网址为http://www.bjft.gov.cn/，如需了解更多政府信息，请登录查询。</w:t>
      </w:r>
    </w:p>
    <w:p w14:paraId="41069E5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77C9D2A1"/>
    <w:multiLevelType w:val="singleLevel"/>
    <w:tmpl w:val="77C9D2A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100CE"/>
    <w:rsid w:val="22241222"/>
    <w:rsid w:val="28DF06D7"/>
    <w:rsid w:val="438F7281"/>
    <w:rsid w:val="6BB97B54"/>
    <w:rsid w:val="71E34873"/>
    <w:rsid w:val="71F100CE"/>
    <w:rsid w:val="754C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uiPriority w:val="0"/>
    <w:pPr>
      <w:jc w:val="left"/>
    </w:pPr>
  </w:style>
  <w:style w:type="paragraph" w:styleId="4">
    <w:name w:val="Normal (Web)"/>
    <w:basedOn w:val="1"/>
    <w:qFormat/>
    <w:uiPriority w:val="0"/>
    <w:pPr>
      <w:spacing w:beforeAutospacing="1" w:afterAutospacing="1"/>
      <w:jc w:val="left"/>
    </w:pPr>
    <w:rPr>
      <w:kern w:val="0"/>
      <w:sz w:val="24"/>
    </w:rPr>
  </w:style>
  <w:style w:type="paragraph" w:customStyle="1" w:styleId="7">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1648</Words>
  <Characters>1774</Characters>
  <Lines>0</Lines>
  <Paragraphs>0</Paragraphs>
  <TotalTime>46</TotalTime>
  <ScaleCrop>false</ScaleCrop>
  <LinksUpToDate>false</LinksUpToDate>
  <CharactersWithSpaces>1778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2025-02-26T02:27:00Z</dcterms:created>
  <dc:creator>lc</dc:creator>
  <cp:lastModifiedBy>Happiness</cp:lastModifiedBy>
  <dcterms:modified xsi:type="dcterms:W3CDTF">2025-03-04T03:21:25Z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4C7A53451E604DA6A7F346CDE19303FC_13</vt:lpwstr>
  </property>
  <property fmtid="{D5CDD505-2E9C-101B-9397-08002B2CF9AE}" pid="4" name="KSOTemplateDocerSaveRecord">
    <vt:lpwstr>eyJoZGlkIjoiZDdhZDQwNTJlNTI1MDhlMDNhMDc0MDVlN2E4YTVlNDgiLCJ1c2VySWQiOiIyNzgwOTAyMTIifQ==</vt:lpwstr>
  </property>
</Properties>
</file>