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bidi="ar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bidi="ar"/>
        </w:rPr>
        <w:t>北京市丰台区人民政府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bidi="ar"/>
        </w:rPr>
        <w:t>2023年政府信息公开工作年度报告</w:t>
      </w:r>
    </w:p>
    <w:p>
      <w:pPr>
        <w:widowControl/>
        <w:spacing w:line="560" w:lineRule="exact"/>
        <w:jc w:val="left"/>
        <w:rPr>
          <w:rFonts w:hint="eastAsia" w:ascii="微软雅黑" w:hAnsi="微软雅黑" w:eastAsia="微软雅黑" w:cs="宋体"/>
          <w:color w:val="404040"/>
          <w:kern w:val="0"/>
          <w:sz w:val="24"/>
          <w:lang w:bidi="ar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5"/>
        <w:jc w:val="left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bidi="ar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bidi="ar"/>
        </w:rPr>
        <w:t>依据《中华人民共和国政府信息公开条例》(以下简称《政府信息公开条例》)第五十条规定，编制本报告。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left"/>
        <w:textAlignment w:val="auto"/>
        <w:rPr>
          <w:rFonts w:hint="eastAsia" w:ascii="黑体" w:hAnsi="宋体" w:eastAsia="黑体" w:cs="宋体"/>
          <w:spacing w:val="8"/>
          <w:kern w:val="0"/>
          <w:sz w:val="32"/>
          <w:szCs w:val="32"/>
        </w:rPr>
      </w:pPr>
      <w:r>
        <w:rPr>
          <w:rFonts w:hint="eastAsia" w:ascii="黑体" w:hAnsi="宋体" w:eastAsia="黑体" w:cs="宋体"/>
          <w:spacing w:val="8"/>
          <w:kern w:val="0"/>
          <w:sz w:val="32"/>
          <w:szCs w:val="32"/>
          <w:lang w:bidi="ar"/>
        </w:rPr>
        <w:t>一、总体情况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5"/>
        <w:jc w:val="left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bidi="ar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bidi="ar"/>
        </w:rPr>
        <w:t>2023年，丰台区政府认真贯彻落实《中华人民共和国政府信息公开条例》，按照国办《2023年政务公开工作要点》和《北京市20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"/>
        </w:rPr>
        <w:t>2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bidi="ar"/>
        </w:rPr>
        <w:t>3年政务公开工作要点》相关要求，强化组织领导，积极推进政策解读、政民互动、惠企便民政策服务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bidi="ar"/>
        </w:rPr>
        <w:t>“京策”试点等工作，丰台区政务公开各项工作稳步推进。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5"/>
        <w:jc w:val="left"/>
        <w:textAlignment w:val="auto"/>
        <w:rPr>
          <w:rFonts w:hint="eastAsia" w:ascii="楷体_GB2312" w:hAnsi="楷体_GB2312" w:eastAsia="楷体_GB2312" w:cs="楷体_GB2312"/>
          <w:spacing w:val="8"/>
          <w:kern w:val="0"/>
          <w:sz w:val="32"/>
          <w:szCs w:val="32"/>
          <w:lang w:bidi="ar"/>
        </w:rPr>
      </w:pPr>
      <w:r>
        <w:rPr>
          <w:rFonts w:hint="eastAsia" w:ascii="楷体_GB2312" w:hAnsi="楷体_GB2312" w:eastAsia="楷体_GB2312" w:cs="楷体_GB2312"/>
          <w:spacing w:val="8"/>
          <w:kern w:val="0"/>
          <w:sz w:val="32"/>
          <w:szCs w:val="32"/>
          <w:lang w:bidi="ar"/>
        </w:rPr>
        <w:t>（一）组织领导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5"/>
        <w:jc w:val="left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bidi="ar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"/>
        </w:rPr>
        <w:t>全区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bidi="ar"/>
        </w:rPr>
        <w:t>定期召开政务公开领导小组工作会和调度会，明确分工职责、层层细化任务。对市级政务公开重点任务进行分解，印发《丰台区2023年政务公开工作要点》和任务分解表，逐项抓好工作落实。成立“京策”试点区级工作组，多次召开专题会议，听取并部署“京策”试点工作。开展市级政务公开评估情况整改调度会，提升全区政务公开工作水平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5"/>
        <w:jc w:val="left"/>
        <w:textAlignment w:val="auto"/>
        <w:rPr>
          <w:rFonts w:hint="eastAsia" w:ascii="楷体_GB2312" w:hAnsi="楷体_GB2312" w:eastAsia="楷体_GB2312" w:cs="楷体_GB2312"/>
          <w:spacing w:val="8"/>
          <w:kern w:val="0"/>
          <w:sz w:val="32"/>
          <w:szCs w:val="32"/>
          <w:lang w:bidi="ar"/>
        </w:rPr>
      </w:pPr>
      <w:r>
        <w:rPr>
          <w:rFonts w:hint="eastAsia" w:ascii="楷体_GB2312" w:hAnsi="楷体_GB2312" w:eastAsia="楷体_GB2312" w:cs="楷体_GB2312"/>
          <w:spacing w:val="8"/>
          <w:kern w:val="0"/>
          <w:sz w:val="32"/>
          <w:szCs w:val="32"/>
          <w:lang w:bidi="ar"/>
        </w:rPr>
        <w:t>（二）主动公开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5"/>
        <w:jc w:val="left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bidi="ar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bidi="ar"/>
        </w:rPr>
        <w:t>一是加强政策服务创新。打造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"/>
        </w:rPr>
        <w:t>全区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bidi="ar"/>
        </w:rPr>
        <w:t>云上服务“先丰站”，成立“丰台区融媒体创新工作室”；积极开展助企纾困、高精尖企业服务、稳岗就业、重点功能区企业政策等方面解读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 w:bidi="ar"/>
        </w:rPr>
        <w:t>，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bidi="ar"/>
        </w:rPr>
        <w:t>组织系列直播互动活动20余次，实现关注量倍增。强化政策解读服务，采用简明问答、一图读懂、音频视频、集中宣讲等形式进行解读，为企业群众提供“政策+解读+办事”的综合解读服务，实现解读效果倍增。今年，北京市“政策公开讲”活动进驻“丰台区政务服务面对面”直播平台，实现市区两级政策解读联动发布、直播资源共享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5"/>
        <w:jc w:val="left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bidi="ar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bidi="ar"/>
        </w:rPr>
        <w:t>二是开展多渠道政民互动活动。坚持“开门听意见”，组织全区各单位常态化开展“百强企业体验行”“政策体验官”“社会观察员”“政务开放日”等政民互动活动，全年开展各类活动130场，参与企业群众1万余人次。开展“企业意见建议征集”活动，邀请学子以“职业体验+服务体验”形式，对政务服务领域工作开展体验和监督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5"/>
        <w:jc w:val="left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bidi="ar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bidi="ar"/>
        </w:rPr>
        <w:t>三是多渠道强化惠企便民政策服务。在政府官方网站推出“优化营商环境丰台在行动”“丰台区惠企政策兑现”等专题专栏。对网上主动公开政策进行细分，在网站首页设置“我要找政策”板块；创新推出搜索关键词提供全场景服务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5"/>
        <w:jc w:val="left"/>
        <w:textAlignment w:val="auto"/>
        <w:rPr>
          <w:rFonts w:hint="eastAsia" w:ascii="楷体_GB2312" w:hAnsi="楷体_GB2312" w:eastAsia="楷体_GB2312" w:cs="楷体_GB2312"/>
          <w:spacing w:val="8"/>
          <w:kern w:val="0"/>
          <w:sz w:val="32"/>
          <w:szCs w:val="32"/>
          <w:lang w:bidi="ar"/>
        </w:rPr>
      </w:pPr>
      <w:r>
        <w:rPr>
          <w:rFonts w:hint="eastAsia" w:ascii="楷体_GB2312" w:hAnsi="楷体_GB2312" w:eastAsia="楷体_GB2312" w:cs="楷体_GB2312"/>
          <w:spacing w:val="8"/>
          <w:kern w:val="0"/>
          <w:sz w:val="32"/>
          <w:szCs w:val="32"/>
          <w:lang w:bidi="ar"/>
        </w:rPr>
        <w:t>（三）依申请公开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5"/>
        <w:jc w:val="left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bidi="ar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bidi="ar"/>
        </w:rPr>
        <w:t>2023年依申请公开数量呈上升趋势，为做好依申请公开回复工作，一是畅通受理渠道，加强与申请人沟通，强化部门协同联动，积极答复公众申请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 w:bidi="ar"/>
        </w:rPr>
        <w:t>。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bidi="ar"/>
        </w:rPr>
        <w:t>二是优化依申请公开办理流程，明确申请的受理、审查等各环节具体要求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 w:bidi="ar"/>
        </w:rPr>
        <w:t>。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bidi="ar"/>
        </w:rPr>
        <w:t>三是进一步规范依申请公开工作，明确依申请公开条件，确定受理机构、受理条件等关键要素，推进依申请公开工作。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5"/>
        <w:jc w:val="left"/>
        <w:textAlignment w:val="auto"/>
        <w:rPr>
          <w:rFonts w:hint="eastAsia" w:ascii="楷体_GB2312" w:hAnsi="楷体_GB2312" w:eastAsia="楷体_GB2312" w:cs="楷体_GB2312"/>
          <w:spacing w:val="8"/>
          <w:kern w:val="0"/>
          <w:sz w:val="32"/>
          <w:szCs w:val="32"/>
          <w:lang w:bidi="ar"/>
        </w:rPr>
      </w:pPr>
      <w:r>
        <w:rPr>
          <w:rFonts w:hint="eastAsia" w:ascii="楷体_GB2312" w:hAnsi="楷体_GB2312" w:eastAsia="楷体_GB2312" w:cs="楷体_GB2312"/>
          <w:spacing w:val="8"/>
          <w:kern w:val="0"/>
          <w:sz w:val="32"/>
          <w:szCs w:val="32"/>
          <w:lang w:bidi="ar"/>
        </w:rPr>
        <w:t>（四）政府信息管理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5"/>
        <w:jc w:val="left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bidi="ar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bidi="ar"/>
        </w:rPr>
        <w:t>健全信息公开审查制度，发布前对信息内容进行审核；建立区政府文件联审机制，对主动公开文件审核是否向社会征求意见建议、是否同步配套政策解读，不予公开的政策文件是否明确法律依据等进行审核。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5"/>
        <w:jc w:val="left"/>
        <w:textAlignment w:val="auto"/>
        <w:rPr>
          <w:rFonts w:hint="eastAsia" w:ascii="楷体_GB2312" w:hAnsi="楷体_GB2312" w:eastAsia="楷体_GB2312" w:cs="楷体_GB2312"/>
          <w:spacing w:val="8"/>
          <w:kern w:val="0"/>
          <w:sz w:val="32"/>
          <w:szCs w:val="32"/>
          <w:lang w:bidi="ar"/>
        </w:rPr>
      </w:pPr>
      <w:r>
        <w:rPr>
          <w:rFonts w:hint="eastAsia" w:ascii="楷体_GB2312" w:hAnsi="楷体_GB2312" w:eastAsia="楷体_GB2312" w:cs="楷体_GB2312"/>
          <w:spacing w:val="8"/>
          <w:kern w:val="0"/>
          <w:sz w:val="32"/>
          <w:szCs w:val="32"/>
          <w:lang w:bidi="ar"/>
        </w:rPr>
        <w:t>（五）</w:t>
      </w:r>
      <w:r>
        <w:rPr>
          <w:rFonts w:hint="eastAsia" w:ascii="楷体_GB2312" w:hAnsi="楷体_GB2312" w:eastAsia="楷体_GB2312" w:cs="楷体_GB2312"/>
          <w:spacing w:val="8"/>
          <w:kern w:val="0"/>
          <w:sz w:val="32"/>
          <w:szCs w:val="32"/>
          <w:lang w:eastAsia="zh-CN" w:bidi="ar"/>
        </w:rPr>
        <w:t>信息</w:t>
      </w:r>
      <w:r>
        <w:rPr>
          <w:rFonts w:hint="eastAsia" w:ascii="楷体_GB2312" w:hAnsi="楷体_GB2312" w:eastAsia="楷体_GB2312" w:cs="楷体_GB2312"/>
          <w:spacing w:val="8"/>
          <w:kern w:val="0"/>
          <w:sz w:val="32"/>
          <w:szCs w:val="32"/>
          <w:lang w:bidi="ar"/>
        </w:rPr>
        <w:t>平台建设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5"/>
        <w:jc w:val="left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bidi="ar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bidi="ar"/>
        </w:rPr>
        <w:t>一是依托区政府网站，推出“多位一体”智能问答政策服务，拓展问答知识库。二是针对不同人群使用习惯，按照个人服务、法人服务提供链接入口，针对老年人设置适老化切换按钮。三是推出“猜您想问”栏目，集中提问频次高的问题，方便企业群众查询。四是在区政府网站上推出26张政府信息公开名片，整合辖区各街镇教育、医疗、养老等信息，提供可用、实用、易用的数据服务和便民服务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5"/>
        <w:jc w:val="left"/>
        <w:textAlignment w:val="auto"/>
        <w:rPr>
          <w:rFonts w:hint="eastAsia" w:ascii="楷体_GB2312" w:hAnsi="楷体_GB2312" w:eastAsia="楷体_GB2312" w:cs="楷体_GB2312"/>
          <w:spacing w:val="8"/>
          <w:kern w:val="0"/>
          <w:sz w:val="32"/>
          <w:szCs w:val="32"/>
          <w:lang w:bidi="ar"/>
        </w:rPr>
      </w:pPr>
      <w:r>
        <w:rPr>
          <w:rFonts w:hint="eastAsia" w:ascii="楷体_GB2312" w:hAnsi="楷体_GB2312" w:eastAsia="楷体_GB2312" w:cs="楷体_GB2312"/>
          <w:spacing w:val="8"/>
          <w:kern w:val="0"/>
          <w:sz w:val="32"/>
          <w:szCs w:val="32"/>
          <w:lang w:bidi="ar"/>
        </w:rPr>
        <w:t>（六）推进“京策”</w:t>
      </w:r>
      <w:r>
        <w:rPr>
          <w:rFonts w:hint="eastAsia" w:ascii="楷体_GB2312" w:hAnsi="楷体_GB2312" w:eastAsia="楷体_GB2312" w:cs="楷体_GB2312"/>
          <w:spacing w:val="8"/>
          <w:kern w:val="0"/>
          <w:sz w:val="32"/>
          <w:szCs w:val="32"/>
          <w:lang w:eastAsia="zh-CN" w:bidi="ar"/>
        </w:rPr>
        <w:t>工作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5"/>
        <w:jc w:val="left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bidi="ar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bidi="ar"/>
        </w:rPr>
        <w:t>丰台区作为全市首批“京策”试点区，积极推进试点任务。一是高度重视统筹部署，开展专题会议听取并部署“京策”试点工作。二是强化政策源头管理，全区开展历史存量政策性文件清理工作。三是积极推进试点任务，依托政策清理成果，建立政策性文件定期清理机制；加强政策审核发布，利用区政府文件联审机制做好文件发布。四是梳理区级惠企政策，选取“丰台园国际高端服务机构落地支持政策”“丰台区支持企业加强知识产权和标准化奖励政策”等一批政策事项参与政策推演。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"/>
        </w:rPr>
        <w:t>五</w:t>
      </w:r>
      <w:bookmarkStart w:id="0" w:name="_GoBack"/>
      <w:bookmarkEnd w:id="0"/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bidi="ar"/>
        </w:rPr>
        <w:t>是选取拟出台的《丰台区推进人力资源服务业高质量发展的若干措施》，依托“京策”平台开展政策测算等。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5"/>
        <w:jc w:val="left"/>
        <w:textAlignment w:val="auto"/>
        <w:rPr>
          <w:rFonts w:hint="eastAsia" w:ascii="楷体_GB2312" w:hAnsi="楷体_GB2312" w:eastAsia="楷体_GB2312" w:cs="楷体_GB2312"/>
          <w:spacing w:val="8"/>
          <w:kern w:val="0"/>
          <w:sz w:val="32"/>
          <w:szCs w:val="32"/>
          <w:lang w:bidi="ar"/>
        </w:rPr>
      </w:pPr>
      <w:r>
        <w:rPr>
          <w:rFonts w:hint="eastAsia" w:ascii="楷体_GB2312" w:hAnsi="楷体_GB2312" w:eastAsia="楷体_GB2312" w:cs="楷体_GB2312"/>
          <w:spacing w:val="8"/>
          <w:kern w:val="0"/>
          <w:sz w:val="32"/>
          <w:szCs w:val="32"/>
          <w:lang w:bidi="ar"/>
        </w:rPr>
        <w:t>（</w:t>
      </w:r>
      <w:r>
        <w:rPr>
          <w:rFonts w:hint="eastAsia" w:ascii="楷体_GB2312" w:hAnsi="楷体_GB2312" w:eastAsia="楷体_GB2312" w:cs="楷体_GB2312"/>
          <w:spacing w:val="8"/>
          <w:kern w:val="0"/>
          <w:sz w:val="32"/>
          <w:szCs w:val="32"/>
          <w:lang w:val="en-US" w:eastAsia="zh-CN" w:bidi="ar"/>
        </w:rPr>
        <w:t>七</w:t>
      </w:r>
      <w:r>
        <w:rPr>
          <w:rFonts w:hint="eastAsia" w:ascii="楷体_GB2312" w:hAnsi="楷体_GB2312" w:eastAsia="楷体_GB2312" w:cs="楷体_GB2312"/>
          <w:spacing w:val="8"/>
          <w:kern w:val="0"/>
          <w:sz w:val="32"/>
          <w:szCs w:val="32"/>
          <w:lang w:bidi="ar"/>
        </w:rPr>
        <w:t>）</w:t>
      </w:r>
      <w:r>
        <w:rPr>
          <w:rFonts w:hint="eastAsia" w:ascii="楷体_GB2312" w:hAnsi="楷体_GB2312" w:eastAsia="楷体_GB2312" w:cs="楷体_GB2312"/>
          <w:spacing w:val="8"/>
          <w:kern w:val="0"/>
          <w:sz w:val="32"/>
          <w:szCs w:val="32"/>
          <w:lang w:eastAsia="zh-CN" w:bidi="ar"/>
        </w:rPr>
        <w:t>加强</w:t>
      </w:r>
      <w:r>
        <w:rPr>
          <w:rFonts w:hint="eastAsia" w:ascii="楷体_GB2312" w:hAnsi="楷体_GB2312" w:eastAsia="楷体_GB2312" w:cs="楷体_GB2312"/>
          <w:spacing w:val="8"/>
          <w:kern w:val="0"/>
          <w:sz w:val="32"/>
          <w:szCs w:val="32"/>
          <w:lang w:bidi="ar"/>
        </w:rPr>
        <w:t>培训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5"/>
        <w:jc w:val="left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bidi="ar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bidi="ar"/>
        </w:rPr>
        <w:t>一是组织全区64家委办局及街镇开展年度政务公开培训，邀请市级部门负责人对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"/>
        </w:rPr>
        <w:t>全区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bidi="ar"/>
        </w:rPr>
        <w:t xml:space="preserve">政务公开工作情况及下一步重点任务进行分解讲评，提升各部门政务公开工作水平。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5"/>
        <w:jc w:val="left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bidi="ar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bidi="ar"/>
        </w:rPr>
        <w:t>二是积极参与年度全市政务公开业务培训，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"/>
        </w:rPr>
        <w:t>参加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bidi="ar"/>
        </w:rPr>
        <w:t>政府信息公开行政复议与行政诉讼案件分析研究座谈会，及时总结学习相关经验。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5"/>
        <w:jc w:val="left"/>
        <w:textAlignment w:val="auto"/>
        <w:rPr>
          <w:rFonts w:hint="eastAsia" w:ascii="楷体_GB2312" w:hAnsi="楷体_GB2312" w:eastAsia="楷体_GB2312" w:cs="楷体_GB2312"/>
          <w:spacing w:val="8"/>
          <w:kern w:val="0"/>
          <w:sz w:val="32"/>
          <w:szCs w:val="32"/>
          <w:lang w:bidi="ar"/>
        </w:rPr>
      </w:pPr>
      <w:r>
        <w:rPr>
          <w:rFonts w:hint="eastAsia" w:ascii="楷体_GB2312" w:hAnsi="楷体_GB2312" w:eastAsia="楷体_GB2312" w:cs="楷体_GB2312"/>
          <w:spacing w:val="8"/>
          <w:kern w:val="0"/>
          <w:sz w:val="32"/>
          <w:szCs w:val="32"/>
          <w:lang w:bidi="ar"/>
        </w:rPr>
        <w:t>（</w:t>
      </w:r>
      <w:r>
        <w:rPr>
          <w:rFonts w:hint="eastAsia" w:ascii="楷体_GB2312" w:hAnsi="楷体_GB2312" w:eastAsia="楷体_GB2312" w:cs="楷体_GB2312"/>
          <w:spacing w:val="8"/>
          <w:kern w:val="0"/>
          <w:sz w:val="32"/>
          <w:szCs w:val="32"/>
          <w:lang w:val="en-US" w:eastAsia="zh-CN" w:bidi="ar"/>
        </w:rPr>
        <w:t>八</w:t>
      </w:r>
      <w:r>
        <w:rPr>
          <w:rFonts w:hint="eastAsia" w:ascii="楷体_GB2312" w:hAnsi="楷体_GB2312" w:eastAsia="楷体_GB2312" w:cs="楷体_GB2312"/>
          <w:spacing w:val="8"/>
          <w:kern w:val="0"/>
          <w:sz w:val="32"/>
          <w:szCs w:val="32"/>
          <w:lang w:bidi="ar"/>
        </w:rPr>
        <w:t>）监督保障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5"/>
        <w:jc w:val="left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bidi="ar"/>
        </w:rPr>
        <w:t>加大政府信息和政务公开工作绩效考核力度，完善定期检查和自查工作机制，每月对各单位政务公开情况进行通报，对政务公开工作有创新、有亮点、有特色、有成效、社会反映好、群众满意率高的工作，年底酌情给予绩效加分，进一步调动各单位积极性，推动政务公开工作。</w:t>
      </w:r>
    </w:p>
    <w:p>
      <w:pPr>
        <w:numPr>
          <w:ilvl w:val="0"/>
          <w:numId w:val="1"/>
        </w:numPr>
        <w:spacing w:line="560" w:lineRule="exact"/>
        <w:ind w:firstLine="640"/>
        <w:rPr>
          <w:rFonts w:hint="eastAsia" w:ascii="黑体" w:hAnsi="宋体" w:eastAsia="黑体" w:cs="黑体"/>
          <w:sz w:val="32"/>
          <w:szCs w:val="32"/>
        </w:rPr>
      </w:pPr>
      <w:r>
        <w:rPr>
          <w:rFonts w:hint="eastAsia" w:ascii="黑体" w:hAnsi="宋体" w:eastAsia="黑体" w:cs="黑体"/>
          <w:sz w:val="32"/>
          <w:szCs w:val="32"/>
          <w:lang w:bidi="ar"/>
        </w:rPr>
        <w:t>主动公开政府信息情况</w:t>
      </w:r>
    </w:p>
    <w:tbl>
      <w:tblPr>
        <w:tblStyle w:val="4"/>
        <w:tblW w:w="9740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第二十条第（一）项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本年制发件数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现行有效件数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第二十条第（五）项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92486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第二十条第（六）项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26196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第二十条第（八）项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本年收费金额（单位：万元）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5098.4139</w:t>
            </w:r>
          </w:p>
        </w:tc>
      </w:tr>
    </w:tbl>
    <w:p>
      <w:pPr>
        <w:pStyle w:val="2"/>
      </w:pPr>
    </w:p>
    <w:p>
      <w:pPr>
        <w:numPr>
          <w:ilvl w:val="0"/>
          <w:numId w:val="1"/>
        </w:numPr>
        <w:spacing w:line="560" w:lineRule="exact"/>
        <w:ind w:firstLine="640"/>
        <w:rPr>
          <w:rFonts w:hint="eastAsia" w:ascii="黑体" w:hAnsi="宋体" w:eastAsia="黑体" w:cs="黑体"/>
          <w:sz w:val="32"/>
          <w:szCs w:val="32"/>
        </w:rPr>
      </w:pPr>
      <w:r>
        <w:rPr>
          <w:rFonts w:hint="eastAsia" w:ascii="黑体" w:hAnsi="宋体" w:eastAsia="黑体" w:cs="黑体"/>
          <w:sz w:val="32"/>
          <w:szCs w:val="32"/>
          <w:lang w:bidi="ar"/>
        </w:rPr>
        <w:t>收到和处理政府信息公开申请情况</w:t>
      </w:r>
    </w:p>
    <w:tbl>
      <w:tblPr>
        <w:tblStyle w:val="4"/>
        <w:tblW w:w="974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6"/>
        <w:gridCol w:w="942"/>
        <w:gridCol w:w="3206"/>
        <w:gridCol w:w="701"/>
        <w:gridCol w:w="687"/>
        <w:gridCol w:w="686"/>
        <w:gridCol w:w="686"/>
        <w:gridCol w:w="686"/>
        <w:gridCol w:w="686"/>
        <w:gridCol w:w="70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bidi="ar"/>
              </w:rPr>
              <w:t>（本列数据的勾稽关系为：第一项加第二项之和，等于第三项加第四项之和）</w:t>
            </w:r>
          </w:p>
        </w:tc>
        <w:tc>
          <w:tcPr>
            <w:tcW w:w="4998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申请人情况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4" w:type="dxa"/>
            <w:vMerge w:val="restart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自然人</w:t>
            </w:r>
          </w:p>
        </w:tc>
        <w:tc>
          <w:tcPr>
            <w:tcW w:w="3570" w:type="dxa"/>
            <w:gridSpan w:val="5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法人或其他组织</w:t>
            </w:r>
          </w:p>
        </w:tc>
        <w:tc>
          <w:tcPr>
            <w:tcW w:w="714" w:type="dxa"/>
            <w:vMerge w:val="restart"/>
            <w:tcBorders>
              <w:top w:val="single" w:color="auto" w:sz="8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5150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4" w:type="dxa"/>
            <w:vMerge w:val="continue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商业</w:t>
            </w:r>
          </w:p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企业</w:t>
            </w:r>
          </w:p>
        </w:tc>
        <w:tc>
          <w:tcPr>
            <w:tcW w:w="714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科研</w:t>
            </w:r>
          </w:p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机构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社会公益组织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法律服务机构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</w:p>
        </w:tc>
        <w:tc>
          <w:tcPr>
            <w:tcW w:w="714" w:type="dxa"/>
            <w:vMerge w:val="continue"/>
            <w:tcBorders>
              <w:top w:val="single" w:color="auto" w:sz="8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一、本年新收政府信息公开申请数量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2111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  <w:jc w:val="center"/>
        </w:trPr>
        <w:tc>
          <w:tcPr>
            <w:tcW w:w="515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二、上年结转政府信息公开申请数量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restart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三、本年度办理结果</w:t>
            </w:r>
          </w:p>
        </w:tc>
        <w:tc>
          <w:tcPr>
            <w:tcW w:w="436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（一）予以公开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6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（二）部分公开</w:t>
            </w: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bidi="ar"/>
              </w:rPr>
              <w:t>（区分处理的，只计这一情形，不计其他情形）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9" w:type="dxa"/>
            <w:vMerge w:val="restart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（三）不予公开</w:t>
            </w: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1.属于国家秘密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2.其他法律行政法规禁止公开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3.危及“三安全一稳定”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4.保护第三方合法权益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5.属于三类内部事务信息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6.属于四类过程性信息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7.属于行政执法案卷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8.属于行政查询事项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9" w:type="dxa"/>
            <w:vMerge w:val="restart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（四）无法提供</w:t>
            </w: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1.本机关不掌握相关政府信息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2.没有现成信息需要另行制作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3.补正后申请内容仍不明确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9" w:type="dxa"/>
            <w:vMerge w:val="restart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（五）不予处理</w:t>
            </w: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1.信访举报投诉类申请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2.重复申请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3.要求提供公开出版物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4.无正当理由大量反复申请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6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5.要求行政机关确认或重新出具已获取信息</w:t>
            </w:r>
          </w:p>
        </w:tc>
        <w:tc>
          <w:tcPr>
            <w:tcW w:w="714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9" w:type="dxa"/>
            <w:vMerge w:val="restart"/>
            <w:tcBorders>
              <w:top w:val="inset" w:color="auto" w:sz="8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（六）其他处理</w:t>
            </w: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1.申请人无正当理由逾期不补正、行政机关不再处理其政府信息公开申请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9" w:type="dxa"/>
            <w:vMerge w:val="continue"/>
            <w:tcBorders>
              <w:top w:val="inset" w:color="auto" w:sz="8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9" w:type="dxa"/>
            <w:vMerge w:val="continue"/>
            <w:tcBorders>
              <w:top w:val="inset" w:color="auto" w:sz="8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3.其他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6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（七）总计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2093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tcBorders>
              <w:top w:val="single" w:color="auto" w:sz="0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四、结转下年度继续办理</w:t>
            </w:r>
          </w:p>
        </w:tc>
        <w:tc>
          <w:tcPr>
            <w:tcW w:w="688" w:type="dxa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Times New Roman" w:cs="宋体"/>
                <w:sz w:val="24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</w:t>
            </w:r>
          </w:p>
        </w:tc>
        <w:tc>
          <w:tcPr>
            <w:tcW w:w="688" w:type="dxa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Times New Roman" w:cs="宋体"/>
                <w:sz w:val="24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688" w:type="dxa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Times New Roman" w:cs="宋体"/>
                <w:sz w:val="24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Times New Roman" w:cs="宋体"/>
                <w:sz w:val="24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Times New Roman" w:cs="宋体"/>
                <w:sz w:val="24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Times New Roman" w:cs="宋体"/>
                <w:sz w:val="24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689" w:type="dxa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Times New Roman" w:cs="宋体"/>
                <w:sz w:val="24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</w:t>
            </w:r>
          </w:p>
        </w:tc>
      </w:tr>
    </w:tbl>
    <w:p>
      <w:pPr>
        <w:pStyle w:val="3"/>
        <w:widowControl/>
        <w:ind w:left="420" w:leftChars="200"/>
      </w:pPr>
    </w:p>
    <w:p/>
    <w:p>
      <w:pPr>
        <w:spacing w:line="560" w:lineRule="exact"/>
        <w:ind w:firstLine="640" w:firstLineChars="200"/>
        <w:rPr>
          <w:rFonts w:hint="eastAsia" w:ascii="黑体" w:hAnsi="宋体" w:eastAsia="黑体" w:cs="黑体"/>
          <w:sz w:val="32"/>
          <w:szCs w:val="32"/>
        </w:rPr>
      </w:pPr>
      <w:r>
        <w:rPr>
          <w:rFonts w:hint="eastAsia" w:ascii="黑体" w:hAnsi="宋体" w:eastAsia="黑体" w:cs="黑体"/>
          <w:sz w:val="32"/>
          <w:szCs w:val="32"/>
          <w:lang w:bidi="ar"/>
        </w:rPr>
        <w:t>四、政府信息公开行政复议、行政诉讼情况</w:t>
      </w:r>
    </w:p>
    <w:tbl>
      <w:tblPr>
        <w:tblStyle w:val="4"/>
        <w:tblW w:w="974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321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行政复议</w:t>
            </w:r>
          </w:p>
        </w:tc>
        <w:tc>
          <w:tcPr>
            <w:tcW w:w="6428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行政诉讼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结果维持</w:t>
            </w:r>
          </w:p>
        </w:tc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321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未经复议直接起诉</w:t>
            </w:r>
          </w:p>
        </w:tc>
        <w:tc>
          <w:tcPr>
            <w:tcW w:w="321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复议后起诉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  <w:jc w:val="center"/>
        </w:trPr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Times New Roman" w:cs="宋体"/>
                <w:sz w:val="24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</w:tr>
    </w:tbl>
    <w:p>
      <w:pPr>
        <w:widowControl/>
        <w:jc w:val="left"/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left"/>
        <w:textAlignment w:val="auto"/>
        <w:rPr>
          <w:rFonts w:hint="eastAsia" w:ascii="宋体" w:hAnsi="宋体" w:cs="宋体"/>
          <w:spacing w:val="8"/>
          <w:kern w:val="0"/>
          <w:sz w:val="24"/>
        </w:rPr>
      </w:pPr>
      <w:r>
        <w:rPr>
          <w:rFonts w:hint="eastAsia" w:ascii="黑体" w:hAnsi="宋体" w:eastAsia="黑体" w:cs="宋体"/>
          <w:spacing w:val="8"/>
          <w:kern w:val="0"/>
          <w:sz w:val="32"/>
          <w:szCs w:val="32"/>
          <w:lang w:bidi="ar"/>
        </w:rPr>
        <w:t>五、存在的主要问题及改进情况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5"/>
        <w:jc w:val="left"/>
        <w:textAlignment w:val="auto"/>
        <w:rPr>
          <w:rFonts w:hint="eastAsia" w:ascii="楷体_GB2312" w:hAnsi="楷体_GB2312" w:eastAsia="楷体_GB2312" w:cs="楷体_GB2312"/>
          <w:spacing w:val="8"/>
          <w:kern w:val="0"/>
          <w:sz w:val="32"/>
          <w:szCs w:val="32"/>
          <w:lang w:bidi="ar"/>
        </w:rPr>
      </w:pPr>
      <w:r>
        <w:rPr>
          <w:rFonts w:hint="eastAsia" w:ascii="楷体_GB2312" w:hAnsi="楷体_GB2312" w:eastAsia="楷体_GB2312" w:cs="楷体_GB2312"/>
          <w:spacing w:val="8"/>
          <w:kern w:val="0"/>
          <w:sz w:val="32"/>
          <w:szCs w:val="32"/>
          <w:lang w:bidi="ar"/>
        </w:rPr>
        <w:t>（一）主要问题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5"/>
        <w:jc w:val="left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bidi="ar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bidi="ar"/>
        </w:rPr>
        <w:t>一是政策性文件公开征集意见数量较少，意见征集途径较单一。二是稳岗就业、义务教育、乡村振兴、涉农补贴等重点领域主动公开要素不全。三是政策解读的形式和质量有待进一步提高，个别文件缺少实质性解读。四是个别单位存在适用法条或救济渠道不准确，受理时间及答复期限计算有误，未按法定期限给予答复，申请渠道存在不畅通等问题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5"/>
        <w:jc w:val="left"/>
        <w:textAlignment w:val="auto"/>
        <w:rPr>
          <w:rFonts w:hint="eastAsia" w:ascii="楷体_GB2312" w:hAnsi="楷体_GB2312" w:eastAsia="楷体_GB2312" w:cs="楷体_GB2312"/>
          <w:spacing w:val="8"/>
          <w:kern w:val="0"/>
          <w:sz w:val="32"/>
          <w:szCs w:val="32"/>
          <w:lang w:bidi="ar"/>
        </w:rPr>
      </w:pPr>
      <w:r>
        <w:rPr>
          <w:rFonts w:hint="eastAsia" w:ascii="楷体_GB2312" w:hAnsi="楷体_GB2312" w:eastAsia="楷体_GB2312" w:cs="楷体_GB2312"/>
          <w:spacing w:val="8"/>
          <w:kern w:val="0"/>
          <w:sz w:val="32"/>
          <w:szCs w:val="32"/>
          <w:lang w:bidi="ar"/>
        </w:rPr>
        <w:t>（二）改进情况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5"/>
        <w:jc w:val="left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bidi="ar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bidi="ar"/>
        </w:rPr>
        <w:t>一是明确意见征集审核机制，优化政策性文件联审流程，在区政府政策性文件制发源头进行审核。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5"/>
        <w:jc w:val="left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bidi="ar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bidi="ar"/>
        </w:rPr>
        <w:t>二是通过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 w:bidi="ar"/>
        </w:rPr>
        <w:t>集中培训、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bidi="ar"/>
        </w:rPr>
        <w:t>点对点培训等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 w:bidi="ar"/>
        </w:rPr>
        <w:t>多渠道培训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bidi="ar"/>
        </w:rPr>
        <w:t>方式做好涉及重点领域的信息公开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 w:bidi="ar"/>
        </w:rPr>
        <w:t>培训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bidi="ar"/>
        </w:rPr>
        <w:t>工作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 w:bidi="ar"/>
        </w:rPr>
        <w:t>，提升主动公开水平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bidi="ar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5"/>
        <w:jc w:val="left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bidi="ar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bidi="ar"/>
        </w:rPr>
        <w:t>三是制发《丰台区政策性文件公开发布和解读办法》，重点细化政策解读标准，出台“丰台区政策解读明白纸”“优秀政策解读案例集”等，明确政策解读的范围、主题、内容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 w:bidi="ar"/>
        </w:rPr>
        <w:t>等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bidi="ar"/>
        </w:rPr>
        <w:t>要素。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5"/>
        <w:jc w:val="left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bidi="ar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bidi="ar"/>
        </w:rPr>
        <w:t>四是健全工作机制，对进入法院诉讼程序的信息公开案件第一时间报备，疑难案件共同研商。制发《依申请公开主管领导“明白纸”》《依申请公开办件要点流程》，梳理办件环节、审核重点，便于基层掌握，提高依法规范化工作水平。建立“依申请公开法律顾问团”，依托全区法律顾问专业力量，形成依申请公开败诉“防火墙”。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5"/>
        <w:jc w:val="left"/>
        <w:textAlignment w:val="auto"/>
        <w:rPr>
          <w:rFonts w:hint="eastAsia" w:ascii="黑体" w:hAnsi="宋体" w:eastAsia="黑体" w:cs="宋体"/>
          <w:spacing w:val="8"/>
          <w:kern w:val="0"/>
          <w:sz w:val="32"/>
          <w:szCs w:val="32"/>
          <w:lang w:bidi="ar"/>
        </w:rPr>
      </w:pPr>
      <w:r>
        <w:rPr>
          <w:rFonts w:hint="eastAsia" w:ascii="黑体" w:hAnsi="宋体" w:eastAsia="黑体" w:cs="宋体"/>
          <w:spacing w:val="8"/>
          <w:kern w:val="0"/>
          <w:sz w:val="32"/>
          <w:szCs w:val="32"/>
          <w:lang w:bidi="ar"/>
        </w:rPr>
        <w:t>其他需要报告的事项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textAlignment w:val="auto"/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bidi="ar"/>
        </w:rPr>
        <w:t>2023年丰台区共发出收费通知11件，总金额为3930元；实际收取的总金额为1450元。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A9DE897"/>
    <w:multiLevelType w:val="multilevel"/>
    <w:tmpl w:val="BA9DE897"/>
    <w:lvl w:ilvl="0" w:tentative="0">
      <w:start w:val="2"/>
      <w:numFmt w:val="chineseCounting"/>
      <w:suff w:val="nothing"/>
      <w:lvlText w:val="%1、"/>
      <w:lvlJc w:val="left"/>
      <w:pPr>
        <w:ind w:left="-10" w:firstLine="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6651F3E1"/>
    <w:multiLevelType w:val="singleLevel"/>
    <w:tmpl w:val="6651F3E1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Y0YmRjNWYwNjA0NGI2NTQ4NmI3NzBlNTJiMTQwNTQifQ=="/>
  </w:docVars>
  <w:rsids>
    <w:rsidRoot w:val="0B5B6E2A"/>
    <w:rsid w:val="05A95CBF"/>
    <w:rsid w:val="0B5B6E2A"/>
    <w:rsid w:val="0C0F267D"/>
    <w:rsid w:val="0C14242B"/>
    <w:rsid w:val="140E2E49"/>
    <w:rsid w:val="1A0D7356"/>
    <w:rsid w:val="24917B80"/>
    <w:rsid w:val="3218123E"/>
    <w:rsid w:val="4F9B5F19"/>
    <w:rsid w:val="6B185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3"/>
    <w:basedOn w:val="1"/>
    <w:next w:val="1"/>
    <w:unhideWhenUsed/>
    <w:qFormat/>
    <w:uiPriority w:val="39"/>
    <w:pPr>
      <w:ind w:left="840" w:leftChars="400"/>
    </w:pPr>
  </w:style>
  <w:style w:type="paragraph" w:styleId="3">
    <w:name w:val="Plain Text"/>
    <w:basedOn w:val="1"/>
    <w:next w:val="1"/>
    <w:qFormat/>
    <w:uiPriority w:val="0"/>
    <w:rPr>
      <w:rFonts w:ascii="宋体" w:hAnsi="Courier Ne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139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2024-01-02T10:18:00Z</dcterms:created>
  <dc:creator>Ren$hiro</dc:creator>
  <cp:lastModifiedBy>Happiness</cp:lastModifiedBy>
  <cp:lastPrinted>2024-02-28T06:29:00Z</cp:lastPrinted>
  <dcterms:modified xsi:type="dcterms:W3CDTF">2024-02-28T09:08:18Z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1E98878C243942D68CC4CB797CDB045E_13</vt:lpwstr>
  </property>
</Properties>
</file>