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center"/>
        <w:rPr>
          <w:rFonts w:eastAsia="方正小标宋简体"/>
          <w:kern w:val="0"/>
          <w:sz w:val="36"/>
          <w:szCs w:val="36"/>
        </w:rPr>
      </w:pPr>
      <w:bookmarkStart w:id="0" w:name="OLE_LINK20"/>
    </w:p>
    <w:p>
      <w:pPr>
        <w:widowControl/>
        <w:spacing w:line="600" w:lineRule="exact"/>
        <w:jc w:val="center"/>
        <w:rPr>
          <w:rFonts w:eastAsia="方正小标宋简体"/>
          <w:kern w:val="0"/>
          <w:sz w:val="44"/>
          <w:szCs w:val="44"/>
        </w:rPr>
      </w:pPr>
      <w:r>
        <w:rPr>
          <w:rFonts w:hint="eastAsia" w:eastAsia="方正小标宋简体"/>
          <w:kern w:val="0"/>
          <w:sz w:val="44"/>
          <w:szCs w:val="44"/>
        </w:rPr>
        <w:t>丰台区</w:t>
      </w:r>
      <w:r>
        <w:rPr>
          <w:rFonts w:eastAsia="方正小标宋简体"/>
          <w:kern w:val="0"/>
          <w:sz w:val="44"/>
          <w:szCs w:val="44"/>
        </w:rPr>
        <w:t>2017</w:t>
      </w:r>
      <w:r>
        <w:rPr>
          <w:rFonts w:hint="eastAsia" w:eastAsia="方正小标宋简体"/>
          <w:kern w:val="0"/>
          <w:sz w:val="44"/>
          <w:szCs w:val="44"/>
        </w:rPr>
        <w:t>年政府信息公开工作年度报告</w:t>
      </w:r>
    </w:p>
    <w:p>
      <w:pPr>
        <w:widowControl/>
        <w:spacing w:line="560" w:lineRule="exact"/>
        <w:rPr>
          <w:rFonts w:eastAsia="方正小标宋简体"/>
          <w:kern w:val="0"/>
          <w:sz w:val="36"/>
          <w:szCs w:val="36"/>
        </w:rPr>
      </w:pPr>
    </w:p>
    <w:p>
      <w:pPr>
        <w:widowControl/>
        <w:spacing w:line="560" w:lineRule="exact"/>
        <w:ind w:firstLine="640" w:firstLineChars="200"/>
        <w:rPr>
          <w:rFonts w:eastAsia="仿宋_GB2312"/>
          <w:kern w:val="0"/>
          <w:sz w:val="32"/>
          <w:szCs w:val="32"/>
        </w:rPr>
      </w:pPr>
      <w:bookmarkStart w:id="1" w:name="OLE_LINK21"/>
      <w:r>
        <w:rPr>
          <w:rFonts w:hint="eastAsia" w:eastAsia="仿宋_GB2312"/>
          <w:kern w:val="0"/>
          <w:sz w:val="32"/>
          <w:szCs w:val="32"/>
        </w:rPr>
        <w:t>本报告是根据《中华人民共和国政府信息公开条例》要求，在</w:t>
      </w:r>
      <w:r>
        <w:rPr>
          <w:rFonts w:eastAsia="仿宋_GB2312"/>
          <w:kern w:val="0"/>
          <w:sz w:val="32"/>
          <w:szCs w:val="32"/>
        </w:rPr>
        <w:t>2017</w:t>
      </w:r>
      <w:r>
        <w:rPr>
          <w:rFonts w:hint="eastAsia" w:eastAsia="仿宋_GB2312"/>
          <w:kern w:val="0"/>
          <w:sz w:val="32"/>
          <w:szCs w:val="32"/>
        </w:rPr>
        <w:t>年度丰台区各委办局和各街、乡（镇）政府信息公开工作年度报告的基础上编制。</w:t>
      </w:r>
    </w:p>
    <w:p>
      <w:pPr>
        <w:widowControl/>
        <w:spacing w:line="560" w:lineRule="exact"/>
        <w:rPr>
          <w:rFonts w:eastAsia="仿宋_GB2312"/>
          <w:kern w:val="0"/>
          <w:sz w:val="32"/>
          <w:szCs w:val="32"/>
        </w:rPr>
      </w:pPr>
      <w:r>
        <w:rPr>
          <w:rFonts w:hint="eastAsia" w:eastAsia="仿宋_GB2312"/>
          <w:kern w:val="0"/>
          <w:sz w:val="32"/>
          <w:szCs w:val="32"/>
        </w:rPr>
        <w:t>　　全文包括</w:t>
      </w:r>
      <w:r>
        <w:rPr>
          <w:rFonts w:eastAsia="仿宋_GB2312"/>
          <w:kern w:val="0"/>
          <w:sz w:val="32"/>
          <w:szCs w:val="32"/>
        </w:rPr>
        <w:t>2017</w:t>
      </w:r>
      <w:r>
        <w:rPr>
          <w:rFonts w:hint="eastAsia" w:eastAsia="仿宋_GB2312"/>
          <w:kern w:val="0"/>
          <w:sz w:val="32"/>
          <w:szCs w:val="32"/>
        </w:rPr>
        <w:t>年丰台区政府信息和政务公开重点工作情况、重点领域信息公开</w:t>
      </w:r>
      <w:bookmarkStart w:id="2" w:name="_GoBack"/>
      <w:bookmarkEnd w:id="2"/>
      <w:r>
        <w:rPr>
          <w:rFonts w:hint="eastAsia" w:eastAsia="仿宋_GB2312"/>
          <w:kern w:val="0"/>
          <w:sz w:val="32"/>
          <w:szCs w:val="32"/>
        </w:rPr>
        <w:t>情况、存在的不足及改进措施，以及主动公开、依申请公开、行政复议、行政诉讼、举报等政府信息公开相关数据。</w:t>
      </w:r>
    </w:p>
    <w:p>
      <w:pPr>
        <w:widowControl/>
        <w:spacing w:line="560" w:lineRule="exact"/>
        <w:ind w:firstLine="648"/>
        <w:rPr>
          <w:rFonts w:eastAsia="仿宋_GB2312"/>
          <w:kern w:val="0"/>
          <w:sz w:val="32"/>
          <w:szCs w:val="32"/>
        </w:rPr>
      </w:pPr>
      <w:r>
        <w:rPr>
          <w:rFonts w:hint="eastAsia" w:eastAsia="仿宋_GB2312"/>
          <w:kern w:val="0"/>
          <w:sz w:val="32"/>
          <w:szCs w:val="32"/>
        </w:rPr>
        <w:t>本报告中所列数据的统计期限自</w:t>
      </w:r>
      <w:r>
        <w:rPr>
          <w:rFonts w:eastAsia="仿宋_GB2312"/>
          <w:kern w:val="0"/>
          <w:sz w:val="32"/>
          <w:szCs w:val="32"/>
        </w:rPr>
        <w:t>2017</w:t>
      </w:r>
      <w:r>
        <w:rPr>
          <w:rFonts w:hint="eastAsia" w:eastAsia="仿宋_GB2312"/>
          <w:kern w:val="0"/>
          <w:sz w:val="32"/>
          <w:szCs w:val="32"/>
        </w:rPr>
        <w:t>年</w:t>
      </w:r>
      <w:r>
        <w:rPr>
          <w:rFonts w:eastAsia="仿宋_GB2312"/>
          <w:kern w:val="0"/>
          <w:sz w:val="32"/>
          <w:szCs w:val="32"/>
        </w:rPr>
        <w:t>1</w:t>
      </w:r>
      <w:r>
        <w:rPr>
          <w:rFonts w:hint="eastAsia" w:eastAsia="仿宋_GB2312"/>
          <w:kern w:val="0"/>
          <w:sz w:val="32"/>
          <w:szCs w:val="32"/>
        </w:rPr>
        <w:t>月</w:t>
      </w:r>
      <w:r>
        <w:rPr>
          <w:rFonts w:eastAsia="仿宋_GB2312"/>
          <w:kern w:val="0"/>
          <w:sz w:val="32"/>
          <w:szCs w:val="32"/>
        </w:rPr>
        <w:t>1</w:t>
      </w:r>
      <w:r>
        <w:rPr>
          <w:rFonts w:hint="eastAsia" w:eastAsia="仿宋_GB2312"/>
          <w:kern w:val="0"/>
          <w:sz w:val="32"/>
          <w:szCs w:val="32"/>
        </w:rPr>
        <w:t>日起，至</w:t>
      </w:r>
      <w:r>
        <w:rPr>
          <w:rFonts w:eastAsia="仿宋_GB2312"/>
          <w:kern w:val="0"/>
          <w:sz w:val="32"/>
          <w:szCs w:val="32"/>
        </w:rPr>
        <w:t>2017</w:t>
      </w:r>
      <w:r>
        <w:rPr>
          <w:rFonts w:hint="eastAsia" w:eastAsia="仿宋_GB2312"/>
          <w:kern w:val="0"/>
          <w:sz w:val="32"/>
          <w:szCs w:val="32"/>
        </w:rPr>
        <w:t>年</w:t>
      </w:r>
      <w:r>
        <w:rPr>
          <w:rFonts w:eastAsia="仿宋_GB2312"/>
          <w:kern w:val="0"/>
          <w:sz w:val="32"/>
          <w:szCs w:val="32"/>
        </w:rPr>
        <w:t>12</w:t>
      </w:r>
      <w:r>
        <w:rPr>
          <w:rFonts w:hint="eastAsia" w:eastAsia="仿宋_GB2312"/>
          <w:kern w:val="0"/>
          <w:sz w:val="32"/>
          <w:szCs w:val="32"/>
        </w:rPr>
        <w:t>月</w:t>
      </w:r>
      <w:r>
        <w:rPr>
          <w:rFonts w:eastAsia="仿宋_GB2312"/>
          <w:kern w:val="0"/>
          <w:sz w:val="32"/>
          <w:szCs w:val="32"/>
        </w:rPr>
        <w:t>31</w:t>
      </w:r>
      <w:r>
        <w:rPr>
          <w:rFonts w:hint="eastAsia" w:eastAsia="仿宋_GB2312"/>
          <w:kern w:val="0"/>
          <w:sz w:val="32"/>
          <w:szCs w:val="32"/>
        </w:rPr>
        <w:t>日止。本报告的电子版可在“北京丰台”网站（</w:t>
      </w:r>
      <w:r>
        <w:fldChar w:fldCharType="begin"/>
      </w:r>
      <w:r>
        <w:instrText xml:space="preserve"> HYPERLINK "http://www.bjft.gov.cn/" \t "_blank" </w:instrText>
      </w:r>
      <w:r>
        <w:fldChar w:fldCharType="separate"/>
      </w:r>
      <w:r>
        <w:rPr>
          <w:rFonts w:eastAsia="仿宋_GB2312"/>
          <w:kern w:val="0"/>
          <w:sz w:val="32"/>
          <w:szCs w:val="32"/>
          <w:u w:val="single"/>
        </w:rPr>
        <w:t>www.bjft.gov.cn</w:t>
      </w:r>
      <w:r>
        <w:rPr>
          <w:rFonts w:eastAsia="仿宋_GB2312"/>
          <w:kern w:val="0"/>
          <w:sz w:val="32"/>
          <w:szCs w:val="32"/>
          <w:u w:val="single"/>
        </w:rPr>
        <w:fldChar w:fldCharType="end"/>
      </w:r>
      <w:r>
        <w:rPr>
          <w:rFonts w:hint="eastAsia" w:eastAsia="仿宋_GB2312"/>
          <w:kern w:val="0"/>
          <w:sz w:val="32"/>
          <w:szCs w:val="32"/>
        </w:rPr>
        <w:t>）下载。如对本报告有任何疑问，请与丰台区政府信息公开办公室联系（地址：北京市丰台区西四环南路</w:t>
      </w:r>
      <w:r>
        <w:rPr>
          <w:rFonts w:eastAsia="仿宋_GB2312"/>
          <w:kern w:val="0"/>
          <w:sz w:val="32"/>
          <w:szCs w:val="32"/>
        </w:rPr>
        <w:t>64</w:t>
      </w:r>
      <w:r>
        <w:rPr>
          <w:rFonts w:hint="eastAsia" w:eastAsia="仿宋_GB2312"/>
          <w:kern w:val="0"/>
          <w:sz w:val="32"/>
          <w:szCs w:val="32"/>
        </w:rPr>
        <w:t>号一层东侧；邮编：</w:t>
      </w:r>
      <w:r>
        <w:rPr>
          <w:rFonts w:eastAsia="仿宋_GB2312"/>
          <w:kern w:val="0"/>
          <w:sz w:val="32"/>
          <w:szCs w:val="32"/>
        </w:rPr>
        <w:t>100071</w:t>
      </w:r>
      <w:r>
        <w:rPr>
          <w:rFonts w:hint="eastAsia" w:eastAsia="仿宋_GB2312"/>
          <w:kern w:val="0"/>
          <w:sz w:val="32"/>
          <w:szCs w:val="32"/>
        </w:rPr>
        <w:t>；电话：</w:t>
      </w:r>
      <w:r>
        <w:rPr>
          <w:rFonts w:eastAsia="仿宋_GB2312"/>
          <w:kern w:val="0"/>
          <w:sz w:val="32"/>
          <w:szCs w:val="32"/>
        </w:rPr>
        <w:t>63835620</w:t>
      </w:r>
      <w:r>
        <w:rPr>
          <w:rFonts w:hint="eastAsia" w:eastAsia="仿宋_GB2312"/>
          <w:kern w:val="0"/>
          <w:sz w:val="32"/>
          <w:szCs w:val="32"/>
        </w:rPr>
        <w:t>；电子邮箱：</w:t>
      </w:r>
      <w:r>
        <w:fldChar w:fldCharType="begin"/>
      </w:r>
      <w:r>
        <w:instrText xml:space="preserve"> HYPERLINK "mailto:xxgk@mail.bjft.gov.cn" </w:instrText>
      </w:r>
      <w:r>
        <w:fldChar w:fldCharType="separate"/>
      </w:r>
      <w:r>
        <w:rPr>
          <w:rFonts w:eastAsia="仿宋_GB2312"/>
          <w:kern w:val="0"/>
          <w:sz w:val="32"/>
          <w:szCs w:val="32"/>
          <w:u w:val="single"/>
        </w:rPr>
        <w:t>xxgk@mail.bjft.gov.cn</w:t>
      </w:r>
      <w:r>
        <w:rPr>
          <w:rFonts w:eastAsia="仿宋_GB2312"/>
          <w:kern w:val="0"/>
          <w:sz w:val="32"/>
          <w:szCs w:val="32"/>
          <w:u w:val="single"/>
        </w:rPr>
        <w:fldChar w:fldCharType="end"/>
      </w:r>
      <w:r>
        <w:rPr>
          <w:rFonts w:hint="eastAsia" w:eastAsia="仿宋_GB2312"/>
          <w:kern w:val="0"/>
          <w:sz w:val="32"/>
          <w:szCs w:val="32"/>
        </w:rPr>
        <w:t>）。</w:t>
      </w:r>
    </w:p>
    <w:p>
      <w:pPr>
        <w:widowControl/>
        <w:spacing w:line="560" w:lineRule="exact"/>
        <w:ind w:firstLine="648"/>
        <w:rPr>
          <w:rFonts w:eastAsia="仿宋_GB2312"/>
          <w:kern w:val="0"/>
          <w:sz w:val="32"/>
          <w:szCs w:val="32"/>
        </w:rPr>
      </w:pPr>
    </w:p>
    <w:p>
      <w:pPr>
        <w:spacing w:line="560" w:lineRule="exact"/>
        <w:ind w:firstLine="643" w:firstLineChars="200"/>
        <w:rPr>
          <w:rFonts w:eastAsia="楷体"/>
          <w:b/>
          <w:sz w:val="32"/>
          <w:szCs w:val="32"/>
        </w:rPr>
      </w:pPr>
    </w:p>
    <w:p>
      <w:pPr>
        <w:widowControl/>
        <w:spacing w:line="560" w:lineRule="exact"/>
        <w:ind w:firstLine="648"/>
        <w:rPr>
          <w:rFonts w:eastAsia="仿宋_GB2312"/>
          <w:kern w:val="0"/>
          <w:sz w:val="32"/>
          <w:szCs w:val="32"/>
        </w:rPr>
      </w:pPr>
    </w:p>
    <w:p>
      <w:pPr>
        <w:widowControl/>
        <w:spacing w:line="560" w:lineRule="exact"/>
        <w:ind w:firstLine="648"/>
        <w:rPr>
          <w:rFonts w:eastAsia="仿宋_GB2312"/>
          <w:kern w:val="0"/>
          <w:sz w:val="32"/>
          <w:szCs w:val="32"/>
        </w:rPr>
      </w:pPr>
    </w:p>
    <w:p>
      <w:pPr>
        <w:widowControl/>
        <w:spacing w:line="560" w:lineRule="exact"/>
        <w:ind w:firstLine="648"/>
        <w:rPr>
          <w:rFonts w:eastAsia="仿宋_GB2312"/>
          <w:kern w:val="0"/>
          <w:sz w:val="32"/>
          <w:szCs w:val="32"/>
        </w:rPr>
      </w:pPr>
      <w:r>
        <w:rPr>
          <w:rFonts w:eastAsia="仿宋_GB2312"/>
          <w:kern w:val="0"/>
          <w:sz w:val="32"/>
          <w:szCs w:val="32"/>
        </w:rPr>
        <w:br w:type="textWrapping"/>
      </w:r>
    </w:p>
    <w:p>
      <w:pPr>
        <w:widowControl/>
        <w:spacing w:line="560" w:lineRule="exact"/>
        <w:ind w:firstLine="648"/>
        <w:rPr>
          <w:rFonts w:eastAsia="仿宋_GB2312"/>
          <w:kern w:val="0"/>
          <w:sz w:val="32"/>
          <w:szCs w:val="32"/>
        </w:rPr>
      </w:pPr>
    </w:p>
    <w:p>
      <w:pPr>
        <w:widowControl/>
        <w:spacing w:line="560" w:lineRule="exact"/>
        <w:ind w:firstLine="648"/>
        <w:rPr>
          <w:rFonts w:eastAsia="仿宋_GB2312"/>
          <w:kern w:val="0"/>
          <w:sz w:val="32"/>
          <w:szCs w:val="32"/>
        </w:rPr>
      </w:pPr>
    </w:p>
    <w:p>
      <w:pPr>
        <w:pStyle w:val="15"/>
        <w:widowControl/>
        <w:numPr>
          <w:ilvl w:val="0"/>
          <w:numId w:val="1"/>
        </w:numPr>
        <w:spacing w:line="560" w:lineRule="exact"/>
        <w:ind w:firstLineChars="0"/>
        <w:rPr>
          <w:rFonts w:eastAsia="黑体"/>
          <w:bCs/>
          <w:kern w:val="0"/>
          <w:sz w:val="32"/>
          <w:szCs w:val="32"/>
        </w:rPr>
      </w:pPr>
      <w:r>
        <w:rPr>
          <w:rFonts w:hint="eastAsia" w:eastAsia="黑体"/>
          <w:bCs/>
          <w:kern w:val="0"/>
          <w:sz w:val="32"/>
          <w:szCs w:val="32"/>
        </w:rPr>
        <w:t>年度重点工作情况</w:t>
      </w:r>
    </w:p>
    <w:p>
      <w:pPr>
        <w:spacing w:line="560" w:lineRule="exact"/>
        <w:ind w:firstLine="643" w:firstLineChars="200"/>
        <w:rPr>
          <w:rFonts w:eastAsia="楷体"/>
          <w:b/>
          <w:sz w:val="32"/>
          <w:szCs w:val="32"/>
        </w:rPr>
      </w:pPr>
      <w:r>
        <w:rPr>
          <w:rFonts w:hint="eastAsia" w:eastAsia="楷体"/>
          <w:b/>
          <w:sz w:val="32"/>
          <w:szCs w:val="32"/>
        </w:rPr>
        <w:t>（一）强化制度保障</w:t>
      </w:r>
    </w:p>
    <w:p>
      <w:pPr>
        <w:widowControl/>
        <w:spacing w:line="560" w:lineRule="exact"/>
        <w:ind w:firstLine="643" w:firstLineChars="200"/>
        <w:rPr>
          <w:rFonts w:eastAsia="仿宋_GB2312"/>
          <w:kern w:val="0"/>
          <w:sz w:val="32"/>
          <w:szCs w:val="32"/>
        </w:rPr>
      </w:pPr>
      <w:r>
        <w:rPr>
          <w:rFonts w:hint="eastAsia" w:eastAsia="仿宋_GB2312"/>
          <w:b/>
          <w:kern w:val="0"/>
          <w:sz w:val="32"/>
          <w:szCs w:val="32"/>
        </w:rPr>
        <w:t>健全政务公开领导机制。</w:t>
      </w:r>
      <w:r>
        <w:rPr>
          <w:rFonts w:hint="eastAsia" w:eastAsia="仿宋_GB2312"/>
          <w:kern w:val="0"/>
          <w:sz w:val="32"/>
          <w:szCs w:val="32"/>
        </w:rPr>
        <w:t>调整丰台区政务公开领导小组，组长由区委常委、常务副区长担任，领导小组下设办公室及全区</w:t>
      </w:r>
      <w:r>
        <w:rPr>
          <w:rFonts w:eastAsia="仿宋_GB2312"/>
          <w:kern w:val="0"/>
          <w:sz w:val="32"/>
          <w:szCs w:val="32"/>
        </w:rPr>
        <w:t>74</w:t>
      </w:r>
      <w:r>
        <w:rPr>
          <w:rFonts w:hint="eastAsia" w:eastAsia="仿宋_GB2312"/>
          <w:kern w:val="0"/>
          <w:sz w:val="32"/>
          <w:szCs w:val="32"/>
        </w:rPr>
        <w:t>个成员单位。调整后的丰台区政务公开领导小组，负责贯彻落实市委市政府关于政务公开工作的方针政策，研究制定丰台区政务公开工作的发展规划和有关政策，统筹协调全区政务公开工作。</w:t>
      </w:r>
    </w:p>
    <w:p>
      <w:pPr>
        <w:widowControl/>
        <w:spacing w:line="560" w:lineRule="exact"/>
        <w:ind w:firstLine="645"/>
        <w:rPr>
          <w:rFonts w:eastAsia="仿宋_GB2312"/>
          <w:kern w:val="0"/>
          <w:sz w:val="32"/>
          <w:szCs w:val="32"/>
        </w:rPr>
      </w:pPr>
      <w:r>
        <w:rPr>
          <w:rFonts w:hint="eastAsia" w:eastAsia="仿宋_GB2312"/>
          <w:b/>
          <w:kern w:val="0"/>
          <w:sz w:val="32"/>
          <w:szCs w:val="32"/>
        </w:rPr>
        <w:t>强化政务公开统筹规划。</w:t>
      </w:r>
      <w:r>
        <w:rPr>
          <w:rFonts w:hint="eastAsia" w:eastAsia="仿宋_GB2312"/>
          <w:kern w:val="0"/>
          <w:sz w:val="32"/>
          <w:szCs w:val="32"/>
        </w:rPr>
        <w:t>制发了《丰台区</w:t>
      </w:r>
      <w:r>
        <w:rPr>
          <w:rFonts w:eastAsia="仿宋_GB2312"/>
          <w:kern w:val="0"/>
          <w:sz w:val="32"/>
          <w:szCs w:val="32"/>
        </w:rPr>
        <w:t>2017</w:t>
      </w:r>
      <w:r>
        <w:rPr>
          <w:rFonts w:hint="eastAsia" w:eastAsia="仿宋_GB2312"/>
          <w:kern w:val="0"/>
          <w:sz w:val="32"/>
          <w:szCs w:val="32"/>
        </w:rPr>
        <w:t>年政务公开工作要点》（丰政办发〔</w:t>
      </w:r>
      <w:r>
        <w:rPr>
          <w:rFonts w:eastAsia="仿宋_GB2312"/>
          <w:kern w:val="0"/>
          <w:sz w:val="32"/>
          <w:szCs w:val="32"/>
        </w:rPr>
        <w:t>2017</w:t>
      </w:r>
      <w:r>
        <w:rPr>
          <w:rFonts w:hint="eastAsia" w:eastAsia="仿宋_GB2312"/>
          <w:kern w:val="0"/>
          <w:sz w:val="32"/>
          <w:szCs w:val="32"/>
        </w:rPr>
        <w:t>〕</w:t>
      </w:r>
      <w:r>
        <w:rPr>
          <w:rFonts w:eastAsia="仿宋_GB2312"/>
          <w:kern w:val="0"/>
          <w:sz w:val="32"/>
          <w:szCs w:val="32"/>
        </w:rPr>
        <w:t>28</w:t>
      </w:r>
      <w:r>
        <w:rPr>
          <w:rFonts w:hint="eastAsia" w:eastAsia="仿宋_GB2312"/>
          <w:kern w:val="0"/>
          <w:sz w:val="32"/>
          <w:szCs w:val="32"/>
        </w:rPr>
        <w:t>号），内容涉及以政务公开助力稳增长、防风险，助力促改革、强管理，助力调结构、转方式，助力惠民生、促服务，助力疏功能、促协同，助力治环境、促提升，助力连民心、促公信等</w:t>
      </w:r>
      <w:r>
        <w:rPr>
          <w:rFonts w:eastAsia="仿宋_GB2312"/>
          <w:kern w:val="0"/>
          <w:sz w:val="32"/>
          <w:szCs w:val="32"/>
        </w:rPr>
        <w:t>10</w:t>
      </w:r>
      <w:r>
        <w:rPr>
          <w:rFonts w:hint="eastAsia" w:eastAsia="仿宋_GB2312"/>
          <w:kern w:val="0"/>
          <w:sz w:val="32"/>
          <w:szCs w:val="32"/>
        </w:rPr>
        <w:t>个方面共</w:t>
      </w:r>
      <w:r>
        <w:rPr>
          <w:rFonts w:eastAsia="仿宋_GB2312"/>
          <w:kern w:val="0"/>
          <w:sz w:val="32"/>
          <w:szCs w:val="32"/>
        </w:rPr>
        <w:t>58</w:t>
      </w:r>
      <w:r>
        <w:rPr>
          <w:rFonts w:hint="eastAsia" w:eastAsia="仿宋_GB2312"/>
          <w:kern w:val="0"/>
          <w:sz w:val="32"/>
          <w:szCs w:val="32"/>
        </w:rPr>
        <w:t>条内容，不断提升政府工作透明度。</w:t>
      </w:r>
    </w:p>
    <w:p>
      <w:pPr>
        <w:spacing w:line="560" w:lineRule="exact"/>
        <w:ind w:firstLine="643" w:firstLineChars="200"/>
        <w:rPr>
          <w:rFonts w:eastAsia="仿宋_GB2312"/>
          <w:sz w:val="32"/>
          <w:szCs w:val="32"/>
        </w:rPr>
      </w:pPr>
      <w:r>
        <w:rPr>
          <w:rFonts w:hint="eastAsia" w:eastAsia="仿宋"/>
          <w:b/>
          <w:sz w:val="32"/>
          <w:szCs w:val="32"/>
        </w:rPr>
        <w:t>推进政务公开两级清单落实</w:t>
      </w:r>
      <w:r>
        <w:rPr>
          <w:rFonts w:hint="eastAsia" w:eastAsia="楷体_GB2312"/>
          <w:sz w:val="32"/>
          <w:szCs w:val="32"/>
        </w:rPr>
        <w:t>。</w:t>
      </w:r>
      <w:r>
        <w:rPr>
          <w:rFonts w:hint="eastAsia" w:eastAsia="仿宋_GB2312"/>
          <w:sz w:val="32"/>
          <w:szCs w:val="32"/>
        </w:rPr>
        <w:t>建立健全政务公开清单管理机制，按照“覆盖全面、层级明确、标准清晰、有序深化”的工作思路，完善了政务公开区、街乡（镇）两级清单。其中，涉及区级</w:t>
      </w:r>
      <w:r>
        <w:rPr>
          <w:rFonts w:eastAsia="仿宋_GB2312"/>
          <w:sz w:val="32"/>
          <w:szCs w:val="32"/>
        </w:rPr>
        <w:t>44</w:t>
      </w:r>
      <w:r>
        <w:rPr>
          <w:rFonts w:hint="eastAsia" w:eastAsia="仿宋_GB2312"/>
          <w:sz w:val="32"/>
          <w:szCs w:val="32"/>
        </w:rPr>
        <w:t>个领域、</w:t>
      </w:r>
      <w:r>
        <w:rPr>
          <w:rFonts w:eastAsia="仿宋_GB2312"/>
          <w:sz w:val="32"/>
          <w:szCs w:val="32"/>
        </w:rPr>
        <w:t>1832</w:t>
      </w:r>
      <w:r>
        <w:rPr>
          <w:rFonts w:hint="eastAsia" w:eastAsia="仿宋_GB2312"/>
          <w:sz w:val="32"/>
          <w:szCs w:val="32"/>
        </w:rPr>
        <w:t>项内容和标准，街乡镇</w:t>
      </w:r>
      <w:r>
        <w:rPr>
          <w:rFonts w:eastAsia="仿宋_GB2312"/>
          <w:sz w:val="32"/>
          <w:szCs w:val="32"/>
        </w:rPr>
        <w:t>13</w:t>
      </w:r>
      <w:r>
        <w:rPr>
          <w:rFonts w:hint="eastAsia" w:eastAsia="仿宋_GB2312"/>
          <w:sz w:val="32"/>
          <w:szCs w:val="32"/>
        </w:rPr>
        <w:t>个领域、</w:t>
      </w:r>
      <w:r>
        <w:rPr>
          <w:rFonts w:eastAsia="仿宋_GB2312"/>
          <w:sz w:val="32"/>
          <w:szCs w:val="32"/>
        </w:rPr>
        <w:t>249</w:t>
      </w:r>
      <w:r>
        <w:rPr>
          <w:rFonts w:hint="eastAsia" w:eastAsia="仿宋_GB2312"/>
          <w:sz w:val="32"/>
          <w:szCs w:val="32"/>
        </w:rPr>
        <w:t>项内容和标准。通过充分发挥清单制度作用，实现了以清单巩固公开、深化公开、引领公开的作用，有效提升了政务公开工作规范化、标准化水平。</w:t>
      </w:r>
    </w:p>
    <w:p>
      <w:pPr>
        <w:spacing w:line="560" w:lineRule="exact"/>
        <w:ind w:firstLine="643" w:firstLineChars="200"/>
        <w:rPr>
          <w:rFonts w:eastAsia="楷体"/>
          <w:b/>
          <w:sz w:val="32"/>
          <w:szCs w:val="32"/>
        </w:rPr>
      </w:pPr>
      <w:r>
        <w:rPr>
          <w:rFonts w:hint="eastAsia" w:eastAsia="仿宋_GB2312"/>
          <w:b/>
          <w:sz w:val="32"/>
          <w:szCs w:val="32"/>
        </w:rPr>
        <w:t>（二）</w:t>
      </w:r>
      <w:r>
        <w:rPr>
          <w:rFonts w:hint="eastAsia" w:eastAsia="楷体"/>
          <w:b/>
          <w:sz w:val="32"/>
          <w:szCs w:val="32"/>
        </w:rPr>
        <w:t>推进政民互动</w:t>
      </w:r>
    </w:p>
    <w:p>
      <w:pPr>
        <w:spacing w:line="560" w:lineRule="exact"/>
        <w:ind w:firstLine="643" w:firstLineChars="200"/>
        <w:rPr>
          <w:rFonts w:eastAsia="仿宋_GB2312"/>
          <w:sz w:val="32"/>
          <w:szCs w:val="32"/>
        </w:rPr>
      </w:pPr>
      <w:r>
        <w:rPr>
          <w:rFonts w:hint="eastAsia" w:eastAsia="仿宋"/>
          <w:b/>
          <w:sz w:val="32"/>
          <w:szCs w:val="32"/>
        </w:rPr>
        <w:t>组织政务开放日系列活动。</w:t>
      </w:r>
      <w:r>
        <w:rPr>
          <w:rFonts w:hint="eastAsia" w:eastAsia="仿宋_GB2312"/>
          <w:sz w:val="32"/>
          <w:szCs w:val="32"/>
        </w:rPr>
        <w:t>细化公众参与事项的范围，完善民意汇集机制，不断拓展政务公开渠道，集中组织开展了全区首个“政务开放日”系列活动。活动包括疏解整治促提升、环境建设、保障和改善民生在内的</w:t>
      </w:r>
      <w:r>
        <w:rPr>
          <w:rFonts w:eastAsia="仿宋_GB2312"/>
          <w:sz w:val="32"/>
          <w:szCs w:val="32"/>
        </w:rPr>
        <w:t>3</w:t>
      </w:r>
      <w:r>
        <w:rPr>
          <w:rFonts w:hint="eastAsia" w:eastAsia="仿宋_GB2312"/>
          <w:sz w:val="32"/>
          <w:szCs w:val="32"/>
        </w:rPr>
        <w:t>个专题、</w:t>
      </w:r>
      <w:r>
        <w:rPr>
          <w:rFonts w:eastAsia="仿宋_GB2312"/>
          <w:sz w:val="32"/>
          <w:szCs w:val="32"/>
        </w:rPr>
        <w:t>6</w:t>
      </w:r>
      <w:r>
        <w:rPr>
          <w:rFonts w:hint="eastAsia" w:eastAsia="仿宋_GB2312"/>
          <w:sz w:val="32"/>
          <w:szCs w:val="32"/>
        </w:rPr>
        <w:t>个开放点，邀请人大代表、政协委员和市民代表走进河西再生水厂、丰台花园空气质量监测子站、东高地“治未病进航天”主题活动、榆树庄村棚户区改造项目等现场，向市民介绍工作情况。坚持“请市民看”和“听市民说”并重，积极听取市民需求和意见建议，取得了较好的社会效果，实现了展成效、聚民心、汇众智的目标。</w:t>
      </w:r>
    </w:p>
    <w:p>
      <w:pPr>
        <w:spacing w:line="560" w:lineRule="exact"/>
        <w:ind w:firstLine="643" w:firstLineChars="200"/>
        <w:rPr>
          <w:rFonts w:eastAsia="仿宋_GB2312"/>
          <w:sz w:val="32"/>
          <w:szCs w:val="32"/>
        </w:rPr>
      </w:pPr>
      <w:r>
        <w:rPr>
          <w:rFonts w:hint="eastAsia" w:eastAsia="仿宋_GB2312"/>
          <w:b/>
          <w:sz w:val="32"/>
          <w:szCs w:val="32"/>
        </w:rPr>
        <w:t>打造民意连接重点工程。</w:t>
      </w:r>
      <w:r>
        <w:rPr>
          <w:rFonts w:hint="eastAsia" w:eastAsia="仿宋_GB2312"/>
          <w:sz w:val="32"/>
          <w:szCs w:val="32"/>
        </w:rPr>
        <w:t>不断提高政府服务热线工作效率，发挥微博、微信“互联网</w:t>
      </w:r>
      <w:r>
        <w:rPr>
          <w:rFonts w:eastAsia="仿宋_GB2312"/>
          <w:sz w:val="32"/>
          <w:szCs w:val="32"/>
        </w:rPr>
        <w:t>+</w:t>
      </w:r>
      <w:r>
        <w:rPr>
          <w:rFonts w:hint="eastAsia" w:eastAsia="仿宋_GB2312"/>
          <w:sz w:val="32"/>
          <w:szCs w:val="32"/>
        </w:rPr>
        <w:t>政务服务”优势，做好诉求受理、沟通反馈、意见收集等工作。做好人民网“地方领导留言板”工作，设立专岗核实办理网民给市区领导留言中投诉举报的问题。推进全区信息化资源整合，搭建丰台区政务大数据汇聚平台，以“</w:t>
      </w:r>
      <w:r>
        <w:rPr>
          <w:rFonts w:eastAsia="仿宋_GB2312"/>
          <w:sz w:val="32"/>
          <w:szCs w:val="32"/>
        </w:rPr>
        <w:t>1+6+N</w:t>
      </w:r>
      <w:r>
        <w:rPr>
          <w:rFonts w:hint="eastAsia" w:eastAsia="仿宋_GB2312"/>
          <w:sz w:val="32"/>
          <w:szCs w:val="32"/>
        </w:rPr>
        <w:t>”的模式（</w:t>
      </w:r>
      <w:r>
        <w:rPr>
          <w:rFonts w:eastAsia="仿宋_GB2312"/>
          <w:sz w:val="32"/>
          <w:szCs w:val="32"/>
        </w:rPr>
        <w:t>1</w:t>
      </w:r>
      <w:r>
        <w:rPr>
          <w:rFonts w:hint="eastAsia" w:eastAsia="仿宋_GB2312"/>
          <w:sz w:val="32"/>
          <w:szCs w:val="32"/>
        </w:rPr>
        <w:t>个政务大数据汇聚平台，养老、食药、安监等</w:t>
      </w:r>
      <w:r>
        <w:rPr>
          <w:rFonts w:eastAsia="仿宋_GB2312"/>
          <w:sz w:val="32"/>
          <w:szCs w:val="32"/>
        </w:rPr>
        <w:t>6</w:t>
      </w:r>
      <w:r>
        <w:rPr>
          <w:rFonts w:hint="eastAsia" w:eastAsia="仿宋_GB2312"/>
          <w:sz w:val="32"/>
          <w:szCs w:val="32"/>
        </w:rPr>
        <w:t>个试点业务系统，</w:t>
      </w:r>
      <w:r>
        <w:rPr>
          <w:rFonts w:eastAsia="仿宋_GB2312"/>
          <w:sz w:val="32"/>
          <w:szCs w:val="32"/>
        </w:rPr>
        <w:t>N</w:t>
      </w:r>
      <w:r>
        <w:rPr>
          <w:rFonts w:hint="eastAsia" w:eastAsia="仿宋_GB2312"/>
          <w:sz w:val="32"/>
          <w:szCs w:val="32"/>
        </w:rPr>
        <w:t>为全区各业务系统及应用），推进数据共享交换，建设统一的街乡镇统筹采集平台。启动信息资源库项目建设，并成功实现全区</w:t>
      </w:r>
      <w:r>
        <w:rPr>
          <w:rFonts w:eastAsia="仿宋_GB2312"/>
          <w:sz w:val="32"/>
          <w:szCs w:val="32"/>
        </w:rPr>
        <w:t>20</w:t>
      </w:r>
      <w:r>
        <w:rPr>
          <w:rFonts w:hint="eastAsia" w:eastAsia="仿宋_GB2312"/>
          <w:sz w:val="32"/>
          <w:szCs w:val="32"/>
        </w:rPr>
        <w:t>余万条信息落地，通过整合资源、搭建应用等方式使数据“活起来”、“聚起来”、“用起来”。</w:t>
      </w:r>
    </w:p>
    <w:p>
      <w:pPr>
        <w:spacing w:line="560" w:lineRule="exact"/>
        <w:ind w:firstLine="643" w:firstLineChars="200"/>
        <w:rPr>
          <w:rFonts w:eastAsia="仿宋_GB2312"/>
          <w:sz w:val="32"/>
          <w:szCs w:val="32"/>
        </w:rPr>
      </w:pPr>
      <w:r>
        <w:rPr>
          <w:rFonts w:hint="eastAsia" w:eastAsia="仿宋_GB2312"/>
          <w:b/>
          <w:sz w:val="32"/>
          <w:szCs w:val="32"/>
        </w:rPr>
        <w:t>做好重要信息新闻发布。</w:t>
      </w:r>
      <w:r>
        <w:rPr>
          <w:rFonts w:hint="eastAsia" w:eastAsia="仿宋_GB2312"/>
          <w:sz w:val="32"/>
          <w:szCs w:val="32"/>
        </w:rPr>
        <w:t>夯实新闻发言人制度基础，依托新闻发言人队伍，围绕疏解整治促提升、大气治理、城市管理和生态文明建设等工作，开展新闻发布和集中采访，主动做好信息发布工作。在人民网“砥砺奋进的五年”专题推出先进人物事迹报道，在《北京晚报》推出“商务新区拉动南北均衡”专题报道。结合市党代会、学雷锋纪念日等节点以及疏解整治促提升、创新发展、党建等重点工作组织系列宣传，在《人民日报》、《北京日报》、人民网、北京电视台推出专题报道。</w:t>
      </w:r>
    </w:p>
    <w:p>
      <w:pPr>
        <w:spacing w:line="560" w:lineRule="exact"/>
        <w:ind w:firstLine="643" w:firstLineChars="200"/>
        <w:rPr>
          <w:rFonts w:eastAsia="楷体"/>
          <w:b/>
          <w:sz w:val="32"/>
          <w:szCs w:val="32"/>
        </w:rPr>
      </w:pPr>
      <w:r>
        <w:rPr>
          <w:rFonts w:hint="eastAsia" w:eastAsia="楷体"/>
          <w:b/>
          <w:sz w:val="32"/>
          <w:szCs w:val="32"/>
        </w:rPr>
        <w:t>（三）优化政策解读</w:t>
      </w:r>
    </w:p>
    <w:p>
      <w:pPr>
        <w:spacing w:line="560" w:lineRule="exact"/>
        <w:ind w:firstLine="643" w:firstLineChars="200"/>
        <w:rPr>
          <w:rFonts w:eastAsia="仿宋_GB2312"/>
          <w:sz w:val="32"/>
          <w:szCs w:val="32"/>
        </w:rPr>
      </w:pPr>
      <w:r>
        <w:rPr>
          <w:rFonts w:hint="eastAsia" w:eastAsia="仿宋_GB2312"/>
          <w:b/>
          <w:sz w:val="32"/>
          <w:szCs w:val="32"/>
        </w:rPr>
        <w:t>研究公文公开发布解读机制。</w:t>
      </w:r>
      <w:r>
        <w:rPr>
          <w:rFonts w:hint="eastAsia" w:eastAsia="仿宋_GB2312"/>
          <w:sz w:val="32"/>
          <w:szCs w:val="32"/>
        </w:rPr>
        <w:t>研究行政机关公文公开发布解读工作办法，加强行政机关公文公开属性源头管理，严格办文程序，强化信息公开审查，进一步规范行政机关公文公开属性管理和发布。加强政策解读工作，试行解读材料与政策文件同步起草、同步审签、同步发布，持续优化政策解读效果。</w:t>
      </w:r>
    </w:p>
    <w:p>
      <w:pPr>
        <w:spacing w:line="560" w:lineRule="exact"/>
        <w:ind w:firstLine="630" w:firstLineChars="196"/>
        <w:rPr>
          <w:rFonts w:eastAsia="楷体"/>
          <w:sz w:val="32"/>
          <w:szCs w:val="32"/>
        </w:rPr>
      </w:pPr>
      <w:r>
        <w:rPr>
          <w:rFonts w:hint="eastAsia" w:eastAsia="仿宋"/>
          <w:b/>
          <w:sz w:val="32"/>
          <w:szCs w:val="32"/>
        </w:rPr>
        <w:t>区政府重大决策进行系列解读。</w:t>
      </w:r>
      <w:r>
        <w:rPr>
          <w:rFonts w:hint="eastAsia" w:eastAsia="仿宋_GB2312"/>
          <w:bCs/>
          <w:sz w:val="32"/>
          <w:szCs w:val="32"/>
        </w:rPr>
        <w:t>围绕区政府重点工作，对重大行政决策进行预公开，选取了群众普遍关注的民政、住建、环保等民生领域部门开展试点工作，在决策前向社会公布了意见草案和决策依据，并通过网络对外征集群众意见，取得了群众的支持。</w:t>
      </w:r>
    </w:p>
    <w:p>
      <w:pPr>
        <w:spacing w:line="560" w:lineRule="exact"/>
        <w:ind w:firstLine="643" w:firstLineChars="200"/>
        <w:rPr>
          <w:rFonts w:eastAsia="仿宋_GB2312"/>
          <w:sz w:val="32"/>
          <w:szCs w:val="32"/>
        </w:rPr>
      </w:pPr>
      <w:r>
        <w:rPr>
          <w:rFonts w:hint="eastAsia" w:eastAsia="仿宋"/>
          <w:b/>
          <w:sz w:val="32"/>
          <w:szCs w:val="32"/>
        </w:rPr>
        <w:t>区政府工作报告进行专题解读。</w:t>
      </w:r>
      <w:r>
        <w:rPr>
          <w:rFonts w:hint="eastAsia" w:eastAsia="仿宋_GB2312"/>
          <w:sz w:val="32"/>
          <w:szCs w:val="32"/>
        </w:rPr>
        <w:t>围绕区政府工作报告涉及的重点工作和社会热点，在门户网站、“北京丰台”政务微信公众号刊发</w:t>
      </w:r>
      <w:r>
        <w:rPr>
          <w:rFonts w:eastAsia="仿宋_GB2312"/>
          <w:sz w:val="32"/>
          <w:szCs w:val="32"/>
        </w:rPr>
        <w:t>2017</w:t>
      </w:r>
      <w:r>
        <w:rPr>
          <w:rFonts w:hint="eastAsia" w:eastAsia="仿宋_GB2312"/>
          <w:sz w:val="32"/>
          <w:szCs w:val="32"/>
        </w:rPr>
        <w:t>年政府工作报告解读专题内容，以图文并茂的形式全面深入解读区政府</w:t>
      </w:r>
      <w:r>
        <w:rPr>
          <w:rFonts w:eastAsia="仿宋_GB2312"/>
          <w:sz w:val="32"/>
          <w:szCs w:val="32"/>
        </w:rPr>
        <w:t>2016</w:t>
      </w:r>
      <w:r>
        <w:rPr>
          <w:rFonts w:hint="eastAsia" w:eastAsia="仿宋_GB2312"/>
          <w:sz w:val="32"/>
          <w:szCs w:val="32"/>
        </w:rPr>
        <w:t>年重点工作的总体情况及</w:t>
      </w:r>
      <w:r>
        <w:rPr>
          <w:rFonts w:eastAsia="仿宋_GB2312"/>
          <w:sz w:val="32"/>
          <w:szCs w:val="32"/>
        </w:rPr>
        <w:t>2017</w:t>
      </w:r>
      <w:r>
        <w:rPr>
          <w:rFonts w:hint="eastAsia" w:eastAsia="仿宋_GB2312"/>
          <w:sz w:val="32"/>
          <w:szCs w:val="32"/>
        </w:rPr>
        <w:t>年工作安排。同时，对于报告涉及的民生实事项目进行全年分项跟踪解读。</w:t>
      </w:r>
    </w:p>
    <w:p>
      <w:pPr>
        <w:spacing w:line="560" w:lineRule="exact"/>
        <w:ind w:firstLine="643" w:firstLineChars="200"/>
        <w:rPr>
          <w:rFonts w:eastAsia="楷体"/>
          <w:b/>
          <w:sz w:val="32"/>
          <w:szCs w:val="32"/>
        </w:rPr>
      </w:pPr>
      <w:r>
        <w:rPr>
          <w:rFonts w:hint="eastAsia" w:eastAsia="楷体"/>
          <w:b/>
          <w:sz w:val="32"/>
          <w:szCs w:val="32"/>
        </w:rPr>
        <w:t>（四）畅通公开渠道</w:t>
      </w:r>
    </w:p>
    <w:p>
      <w:pPr>
        <w:spacing w:line="560" w:lineRule="exact"/>
        <w:ind w:firstLine="643" w:firstLineChars="200"/>
        <w:rPr>
          <w:rFonts w:eastAsia="仿宋_GB2312"/>
          <w:sz w:val="32"/>
          <w:szCs w:val="32"/>
        </w:rPr>
      </w:pPr>
      <w:r>
        <w:rPr>
          <w:rFonts w:hint="eastAsia" w:eastAsia="仿宋_GB2312"/>
          <w:b/>
          <w:sz w:val="32"/>
          <w:szCs w:val="32"/>
        </w:rPr>
        <w:t>积极统筹政务新媒体平台。</w:t>
      </w:r>
      <w:r>
        <w:rPr>
          <w:rFonts w:hint="eastAsia" w:eastAsia="仿宋_GB2312"/>
          <w:sz w:val="32"/>
          <w:szCs w:val="32"/>
        </w:rPr>
        <w:t>将“两微一端”、丰台区政府网站、新华网客户端、《今日头条》等网络平台与丰台广电、丰台报日常采编的信息整合。在区政府门户网站上开设了“公众参与”栏目，在新浪微博开通了“马上就办”话题，通过“北京丰台”官方微博、“北京丰台”政务微信公众号针对涉及本区的重大事件、舆论热点和市民关心的问题，及时发布相关信息，回应公众关切，年度多篇文章点击率达到</w:t>
      </w:r>
      <w:r>
        <w:rPr>
          <w:rFonts w:eastAsia="仿宋_GB2312"/>
          <w:sz w:val="32"/>
          <w:szCs w:val="32"/>
        </w:rPr>
        <w:t>300</w:t>
      </w:r>
      <w:r>
        <w:rPr>
          <w:rFonts w:hint="eastAsia" w:eastAsia="仿宋_GB2312"/>
          <w:sz w:val="32"/>
          <w:szCs w:val="32"/>
        </w:rPr>
        <w:t>万次以上。对网民通过“北京丰台”微博反映的问题共立案</w:t>
      </w:r>
      <w:r>
        <w:rPr>
          <w:rFonts w:eastAsia="仿宋_GB2312"/>
          <w:sz w:val="32"/>
          <w:szCs w:val="32"/>
        </w:rPr>
        <w:t>203</w:t>
      </w:r>
      <w:r>
        <w:rPr>
          <w:rFonts w:hint="eastAsia" w:eastAsia="仿宋_GB2312"/>
          <w:sz w:val="32"/>
          <w:szCs w:val="32"/>
        </w:rPr>
        <w:t>件，结案</w:t>
      </w:r>
      <w:r>
        <w:rPr>
          <w:rFonts w:eastAsia="仿宋_GB2312"/>
          <w:sz w:val="32"/>
          <w:szCs w:val="32"/>
        </w:rPr>
        <w:t>198</w:t>
      </w:r>
      <w:r>
        <w:rPr>
          <w:rFonts w:hint="eastAsia" w:eastAsia="仿宋_GB2312"/>
          <w:sz w:val="32"/>
          <w:szCs w:val="32"/>
        </w:rPr>
        <w:t>件，“马上就办”微博话题阅读量达</w:t>
      </w:r>
      <w:r>
        <w:rPr>
          <w:rFonts w:eastAsia="仿宋_GB2312"/>
          <w:sz w:val="32"/>
          <w:szCs w:val="32"/>
        </w:rPr>
        <w:t>677</w:t>
      </w:r>
      <w:r>
        <w:rPr>
          <w:rFonts w:hint="eastAsia" w:eastAsia="仿宋_GB2312"/>
          <w:sz w:val="32"/>
          <w:szCs w:val="32"/>
        </w:rPr>
        <w:t>万人次。</w:t>
      </w:r>
    </w:p>
    <w:p>
      <w:pPr>
        <w:spacing w:line="560" w:lineRule="exact"/>
        <w:ind w:firstLine="643" w:firstLineChars="200"/>
        <w:rPr>
          <w:rFonts w:eastAsia="仿宋_GB2312"/>
          <w:sz w:val="32"/>
          <w:szCs w:val="32"/>
        </w:rPr>
      </w:pPr>
      <w:r>
        <w:rPr>
          <w:rFonts w:hint="eastAsia" w:eastAsia="仿宋_GB2312"/>
          <w:b/>
          <w:sz w:val="32"/>
          <w:szCs w:val="32"/>
        </w:rPr>
        <w:t>不断加强政府网站建设管理。</w:t>
      </w:r>
      <w:r>
        <w:rPr>
          <w:rFonts w:hint="eastAsia" w:eastAsia="仿宋_GB2312"/>
          <w:sz w:val="32"/>
          <w:szCs w:val="32"/>
        </w:rPr>
        <w:t>制定全区信息化相关标准规范，大力实施丰台区电子政务外网提升工程，实现一个核心环、一个接入环、一条接入链的网络连接。贯彻落实政府网站发展指引，在全市范围内率先实现了全部政府网站添加中国政府网“我为政府网站找错”监督举报入口及“国务院重要信息专栏”设置工作，完成了全区政府网站域名规范及名称规范工作。委托第三方机构对全区政府网站内容建设情况进行常态化监测检查。</w:t>
      </w:r>
    </w:p>
    <w:p>
      <w:pPr>
        <w:spacing w:line="560" w:lineRule="exact"/>
        <w:ind w:firstLine="643" w:firstLineChars="200"/>
        <w:rPr>
          <w:rFonts w:eastAsia="仿宋_GB2312"/>
          <w:sz w:val="32"/>
          <w:szCs w:val="32"/>
        </w:rPr>
      </w:pPr>
      <w:r>
        <w:rPr>
          <w:rFonts w:hint="eastAsia" w:eastAsia="仿宋_GB2312"/>
          <w:b/>
          <w:sz w:val="32"/>
          <w:szCs w:val="32"/>
        </w:rPr>
        <w:t>政务公开服务场所全覆盖。</w:t>
      </w:r>
      <w:r>
        <w:rPr>
          <w:rFonts w:hint="eastAsia" w:eastAsia="仿宋_GB2312"/>
          <w:sz w:val="32"/>
          <w:szCs w:val="32"/>
        </w:rPr>
        <w:t>全区纳入政府信息公开工作的各部门、各街乡（镇）均提供了信息公开服务场所，方便群众获取政府信息。不断提升服务标准，加强信息公开大厅及窗口的硬件设施建设，设置</w:t>
      </w:r>
      <w:r>
        <w:rPr>
          <w:rFonts w:hint="eastAsia" w:eastAsia="仿宋_GB2312"/>
          <w:sz w:val="32"/>
          <w:szCs w:val="32"/>
          <w:shd w:val="clear" w:color="auto" w:fill="FFFFFF"/>
        </w:rPr>
        <w:t>服务说明提示板，</w:t>
      </w:r>
      <w:r>
        <w:rPr>
          <w:rFonts w:hint="eastAsia" w:eastAsia="仿宋_GB2312"/>
          <w:sz w:val="32"/>
          <w:szCs w:val="32"/>
        </w:rPr>
        <w:t>完善大厅接待服务规范，</w:t>
      </w:r>
      <w:r>
        <w:rPr>
          <w:rFonts w:hint="eastAsia" w:eastAsia="仿宋_GB2312"/>
          <w:sz w:val="32"/>
          <w:szCs w:val="32"/>
          <w:shd w:val="clear" w:color="auto" w:fill="FFFFFF"/>
        </w:rPr>
        <w:t>提升服务水平</w:t>
      </w:r>
      <w:r>
        <w:rPr>
          <w:rFonts w:hint="eastAsia" w:eastAsia="仿宋_GB2312"/>
          <w:sz w:val="32"/>
          <w:szCs w:val="32"/>
        </w:rPr>
        <w:t>，为群众提供更便捷有效的政务公开服务。</w:t>
      </w:r>
    </w:p>
    <w:p>
      <w:pPr>
        <w:spacing w:line="560" w:lineRule="exact"/>
        <w:ind w:firstLine="643" w:firstLineChars="200"/>
        <w:rPr>
          <w:rFonts w:eastAsia="仿宋_GB2312"/>
          <w:b/>
          <w:sz w:val="32"/>
          <w:szCs w:val="32"/>
        </w:rPr>
      </w:pPr>
      <w:r>
        <w:rPr>
          <w:rFonts w:hint="eastAsia" w:eastAsia="仿宋_GB2312"/>
          <w:b/>
          <w:sz w:val="32"/>
          <w:szCs w:val="32"/>
        </w:rPr>
        <w:t>（五）夯实工作基础</w:t>
      </w:r>
    </w:p>
    <w:p>
      <w:pPr>
        <w:widowControl/>
        <w:spacing w:line="560" w:lineRule="exact"/>
        <w:ind w:firstLine="646"/>
        <w:rPr>
          <w:rFonts w:eastAsia="仿宋_GB2312"/>
          <w:sz w:val="32"/>
          <w:szCs w:val="32"/>
        </w:rPr>
      </w:pPr>
      <w:r>
        <w:rPr>
          <w:rFonts w:hint="eastAsia" w:eastAsia="仿宋_GB2312"/>
          <w:b/>
          <w:sz w:val="32"/>
          <w:szCs w:val="32"/>
        </w:rPr>
        <w:t>推进依申请公开促进依法行政。</w:t>
      </w:r>
      <w:r>
        <w:rPr>
          <w:rFonts w:hint="eastAsia" w:eastAsia="仿宋_GB2312"/>
          <w:sz w:val="32"/>
          <w:szCs w:val="32"/>
        </w:rPr>
        <w:t>高度重视并认真对待依申请公开工作，强化工作人员业务培训，依托法律顾问加强法制审查，做到件件依法按时答复，确保群众依法获取政府信息的权利。建立依申请公开个性问题工作建议制度，对依申请公开发现的依法行政方面的问题及时提出工作建议，深化依申请公开共性问题通报制度，向全区通报共性问题，提出整改要求。</w:t>
      </w:r>
    </w:p>
    <w:p>
      <w:pPr>
        <w:widowControl/>
        <w:spacing w:line="560" w:lineRule="exact"/>
        <w:ind w:firstLine="646"/>
        <w:rPr>
          <w:rFonts w:eastAsia="仿宋"/>
          <w:sz w:val="32"/>
          <w:szCs w:val="32"/>
        </w:rPr>
      </w:pPr>
      <w:r>
        <w:rPr>
          <w:rFonts w:hint="eastAsia" w:eastAsia="仿宋_GB2312"/>
          <w:b/>
          <w:sz w:val="32"/>
          <w:szCs w:val="32"/>
        </w:rPr>
        <w:t>强化政务公开考核评估。</w:t>
      </w:r>
      <w:r>
        <w:rPr>
          <w:rFonts w:hint="eastAsia" w:eastAsia="仿宋"/>
          <w:sz w:val="32"/>
          <w:szCs w:val="32"/>
        </w:rPr>
        <w:t>依托第三方机构，采取暗访的方式对区属各单位政府信息和政务公开工作进行全面督促检查和不定时随机抽查。坚持做好月度检查通报，并增设业务交流版块，向各单位反馈月度工作情况，提升工作人员业务知识面。继续坚持把政府信息与政务公开工作纳入年底绩效考核，</w:t>
      </w:r>
      <w:r>
        <w:rPr>
          <w:rFonts w:hint="eastAsia" w:eastAsia="仿宋_GB2312"/>
          <w:sz w:val="32"/>
          <w:szCs w:val="32"/>
        </w:rPr>
        <w:t>考核包括“五公开”、依申请公开、组织保障、创新创优等四方面工作，共设置</w:t>
      </w:r>
      <w:r>
        <w:rPr>
          <w:rFonts w:eastAsia="仿宋_GB2312"/>
          <w:sz w:val="32"/>
          <w:szCs w:val="32"/>
        </w:rPr>
        <w:t>23</w:t>
      </w:r>
      <w:r>
        <w:rPr>
          <w:rFonts w:hint="eastAsia" w:eastAsia="仿宋_GB2312"/>
          <w:sz w:val="32"/>
          <w:szCs w:val="32"/>
        </w:rPr>
        <w:t>项指标，</w:t>
      </w:r>
      <w:r>
        <w:rPr>
          <w:rFonts w:hint="eastAsia" w:eastAsia="仿宋"/>
          <w:sz w:val="32"/>
          <w:szCs w:val="32"/>
        </w:rPr>
        <w:t>对考核指标和要求进行细化完善，提高各单位对政府信息和政务公开工作的重视程度，以考核督促工作提升。</w:t>
      </w:r>
    </w:p>
    <w:p>
      <w:pPr>
        <w:widowControl/>
        <w:spacing w:line="560" w:lineRule="exact"/>
        <w:ind w:firstLine="646"/>
        <w:rPr>
          <w:rFonts w:eastAsia="仿宋_GB2312"/>
          <w:sz w:val="32"/>
          <w:szCs w:val="32"/>
        </w:rPr>
      </w:pPr>
      <w:r>
        <w:rPr>
          <w:rFonts w:hint="eastAsia" w:eastAsia="仿宋_GB2312"/>
          <w:b/>
          <w:sz w:val="32"/>
          <w:szCs w:val="32"/>
        </w:rPr>
        <w:t>加强政务公开培训交流。</w:t>
      </w:r>
      <w:r>
        <w:rPr>
          <w:rFonts w:hint="eastAsia" w:eastAsia="仿宋_GB2312"/>
          <w:sz w:val="32"/>
          <w:szCs w:val="32"/>
        </w:rPr>
        <w:t>举办政府信息和政务公开专题培训，面向各委办局、各街乡（镇）信息公开工作主管领导、工作机构负责人和工作人员开展培训，实现业务培训全覆盖。建立全区政务公开微信群，及时交流学习经验做法。建立轮训机制，组织各行政机关到区政府信息公开大厅进行交流学习。</w:t>
      </w:r>
    </w:p>
    <w:p>
      <w:pPr>
        <w:pStyle w:val="15"/>
        <w:widowControl/>
        <w:numPr>
          <w:ilvl w:val="0"/>
          <w:numId w:val="1"/>
        </w:numPr>
        <w:spacing w:line="560" w:lineRule="exact"/>
        <w:ind w:firstLineChars="0"/>
        <w:rPr>
          <w:rFonts w:eastAsia="黑体"/>
          <w:bCs/>
          <w:kern w:val="0"/>
          <w:sz w:val="32"/>
          <w:szCs w:val="32"/>
        </w:rPr>
      </w:pPr>
      <w:r>
        <w:rPr>
          <w:rFonts w:hint="eastAsia" w:eastAsia="黑体"/>
          <w:bCs/>
          <w:kern w:val="0"/>
          <w:sz w:val="32"/>
          <w:szCs w:val="32"/>
        </w:rPr>
        <w:t>重点领域信息公开情况</w:t>
      </w:r>
    </w:p>
    <w:p>
      <w:pPr>
        <w:spacing w:line="560" w:lineRule="exact"/>
        <w:ind w:firstLine="321" w:firstLineChars="100"/>
        <w:rPr>
          <w:rFonts w:eastAsia="楷体_GB2312"/>
          <w:b/>
          <w:sz w:val="32"/>
          <w:szCs w:val="32"/>
        </w:rPr>
      </w:pPr>
      <w:r>
        <w:rPr>
          <w:rFonts w:hint="eastAsia" w:eastAsia="楷体_GB2312"/>
          <w:b/>
          <w:sz w:val="32"/>
          <w:szCs w:val="32"/>
        </w:rPr>
        <w:t>（一）以政务公开助力疏功能、调结构</w:t>
      </w:r>
    </w:p>
    <w:p>
      <w:pPr>
        <w:adjustRightInd w:val="0"/>
        <w:snapToGrid w:val="0"/>
        <w:spacing w:line="560" w:lineRule="exact"/>
        <w:ind w:firstLine="643" w:firstLineChars="200"/>
        <w:rPr>
          <w:rFonts w:eastAsia="仿宋_GB2312"/>
          <w:kern w:val="0"/>
          <w:sz w:val="32"/>
          <w:szCs w:val="32"/>
        </w:rPr>
      </w:pPr>
      <w:r>
        <w:rPr>
          <w:rFonts w:hint="eastAsia" w:eastAsia="仿宋_GB2312"/>
          <w:b/>
          <w:sz w:val="32"/>
          <w:szCs w:val="32"/>
        </w:rPr>
        <w:t>推进有序疏解非首都功能信息公开。</w:t>
      </w:r>
      <w:r>
        <w:rPr>
          <w:rFonts w:hint="eastAsia" w:eastAsia="仿宋_GB2312"/>
          <w:sz w:val="32"/>
          <w:szCs w:val="32"/>
        </w:rPr>
        <w:t>落实《</w:t>
      </w:r>
      <w:r>
        <w:rPr>
          <w:rFonts w:eastAsia="仿宋_GB2312"/>
          <w:sz w:val="32"/>
          <w:szCs w:val="32"/>
        </w:rPr>
        <w:t>2017</w:t>
      </w:r>
      <w:r>
        <w:rPr>
          <w:rFonts w:hint="eastAsia" w:eastAsia="仿宋_GB2312"/>
          <w:sz w:val="32"/>
          <w:szCs w:val="32"/>
        </w:rPr>
        <w:t>年“疏解整治促提升”专项行动方案》，定期汇总系统数据，较好地完成了专项行动的公开工作。重点围绕大红门地区市场疏解、“开墙打洞”专项治理、优化营商环境等工作加大宣传报道力度，先后开展了“天雅非公党建成立</w:t>
      </w:r>
      <w:r>
        <w:rPr>
          <w:rFonts w:eastAsia="仿宋_GB2312"/>
          <w:sz w:val="32"/>
          <w:szCs w:val="32"/>
        </w:rPr>
        <w:t>e</w:t>
      </w:r>
      <w:r>
        <w:rPr>
          <w:rFonts w:hint="eastAsia" w:eastAsia="仿宋_GB2312"/>
          <w:sz w:val="32"/>
          <w:szCs w:val="32"/>
        </w:rPr>
        <w:t>党支部”、“探索</w:t>
      </w:r>
      <w:r>
        <w:rPr>
          <w:rFonts w:eastAsia="仿宋_GB2312"/>
          <w:sz w:val="32"/>
          <w:szCs w:val="32"/>
        </w:rPr>
        <w:t>‘</w:t>
      </w:r>
      <w:r>
        <w:rPr>
          <w:rFonts w:hint="eastAsia" w:eastAsia="仿宋_GB2312"/>
          <w:sz w:val="32"/>
          <w:szCs w:val="32"/>
        </w:rPr>
        <w:t>后疏解时代</w:t>
      </w:r>
      <w:r>
        <w:rPr>
          <w:rFonts w:eastAsia="仿宋_GB2312"/>
          <w:sz w:val="32"/>
          <w:szCs w:val="32"/>
        </w:rPr>
        <w:t>’</w:t>
      </w:r>
      <w:r>
        <w:rPr>
          <w:rFonts w:hint="eastAsia" w:eastAsia="仿宋_GB2312"/>
          <w:sz w:val="32"/>
          <w:szCs w:val="32"/>
        </w:rPr>
        <w:t>商品交易市场立体管理法”等有影响力的宣传报道。落实</w:t>
      </w:r>
      <w:r>
        <w:rPr>
          <w:rFonts w:hint="eastAsia" w:eastAsia="仿宋_GB2312"/>
          <w:kern w:val="0"/>
          <w:sz w:val="32"/>
          <w:szCs w:val="32"/>
        </w:rPr>
        <w:t>《“疏解整治促提升”工作中完善便民商业设施若干问题的指导意见》，研究制定对农村地区集体产权市场及仓储物流设施疏解的资金支持政策等。在北京晚报等媒体刊登“华北最大五金建材市场外迁高碑店”、“西四环亿客隆水暖阀门市场拆除”、“丰台</w:t>
      </w:r>
      <w:r>
        <w:rPr>
          <w:rFonts w:eastAsia="仿宋_GB2312"/>
          <w:kern w:val="0"/>
          <w:sz w:val="32"/>
          <w:szCs w:val="32"/>
        </w:rPr>
        <w:t>4460</w:t>
      </w:r>
      <w:r>
        <w:rPr>
          <w:rFonts w:hint="eastAsia" w:eastAsia="仿宋_GB2312"/>
          <w:kern w:val="0"/>
          <w:sz w:val="32"/>
          <w:szCs w:val="32"/>
        </w:rPr>
        <w:t>个便民网点一图尽览”、“丰台区打造</w:t>
      </w:r>
      <w:r>
        <w:rPr>
          <w:rFonts w:eastAsia="仿宋_GB2312"/>
          <w:kern w:val="0"/>
          <w:sz w:val="32"/>
          <w:szCs w:val="32"/>
        </w:rPr>
        <w:t>5</w:t>
      </w:r>
      <w:r>
        <w:rPr>
          <w:rFonts w:hint="eastAsia" w:eastAsia="仿宋_GB2312"/>
          <w:kern w:val="0"/>
          <w:sz w:val="32"/>
          <w:szCs w:val="32"/>
        </w:rPr>
        <w:t>分钟蔬菜圈”等信息。</w:t>
      </w:r>
    </w:p>
    <w:p>
      <w:pPr>
        <w:spacing w:line="560" w:lineRule="exact"/>
        <w:ind w:firstLine="643" w:firstLineChars="200"/>
        <w:rPr>
          <w:rFonts w:eastAsia="仿宋_GB2312"/>
          <w:sz w:val="32"/>
          <w:szCs w:val="32"/>
        </w:rPr>
      </w:pPr>
      <w:r>
        <w:rPr>
          <w:rFonts w:hint="eastAsia" w:eastAsia="仿宋_GB2312"/>
          <w:b/>
          <w:sz w:val="32"/>
          <w:szCs w:val="32"/>
        </w:rPr>
        <w:t>促进构建</w:t>
      </w:r>
      <w:r>
        <w:rPr>
          <w:rFonts w:eastAsia="仿宋_GB2312"/>
          <w:b/>
          <w:sz w:val="32"/>
          <w:szCs w:val="32"/>
        </w:rPr>
        <w:t>“</w:t>
      </w:r>
      <w:r>
        <w:rPr>
          <w:rFonts w:hint="eastAsia" w:eastAsia="仿宋_GB2312"/>
          <w:b/>
          <w:sz w:val="32"/>
          <w:szCs w:val="32"/>
        </w:rPr>
        <w:t>高精尖</w:t>
      </w:r>
      <w:r>
        <w:rPr>
          <w:rFonts w:eastAsia="仿宋_GB2312"/>
          <w:b/>
          <w:sz w:val="32"/>
          <w:szCs w:val="32"/>
        </w:rPr>
        <w:t>”</w:t>
      </w:r>
      <w:r>
        <w:rPr>
          <w:rFonts w:hint="eastAsia" w:eastAsia="仿宋_GB2312"/>
          <w:b/>
          <w:sz w:val="32"/>
          <w:szCs w:val="32"/>
        </w:rPr>
        <w:t>经济结构信息公开。</w:t>
      </w:r>
      <w:r>
        <w:rPr>
          <w:rFonts w:hint="eastAsia" w:eastAsia="仿宋_GB2312"/>
          <w:sz w:val="32"/>
          <w:szCs w:val="32"/>
        </w:rPr>
        <w:t>制定了《丰台区“十三五”高新技术产业发展规划》并进行了公开，对丰台投资环境、政策与服务等信息进行宣传推介，吸引全球高精尖人才向丰台聚集。举办</w:t>
      </w:r>
      <w:r>
        <w:rPr>
          <w:rFonts w:eastAsia="仿宋_GB2312"/>
          <w:sz w:val="32"/>
          <w:szCs w:val="32"/>
        </w:rPr>
        <w:t>2017</w:t>
      </w:r>
      <w:r>
        <w:rPr>
          <w:rFonts w:hint="eastAsia" w:eastAsia="仿宋_GB2312"/>
          <w:sz w:val="32"/>
          <w:szCs w:val="32"/>
        </w:rPr>
        <w:t>驻京中外知名企业丰台行暨国际高精尖人才高峰论坛，围绕“慧聚丰台、开创未来”的主题开展宣传报道，吸引社会关注。组织高新、专利、科技项目申报、上市融资、人才等企业专项培训和政策宣讲，让企业了解并享受到国家的科技金融政策。推进众创空间信息公开，启动丰台区科技企业孵化器政策补贴、奖励工作，经严格审核，确认园区内</w:t>
      </w:r>
      <w:r>
        <w:rPr>
          <w:rFonts w:eastAsia="仿宋_GB2312"/>
          <w:sz w:val="32"/>
          <w:szCs w:val="32"/>
        </w:rPr>
        <w:t>14</w:t>
      </w:r>
      <w:r>
        <w:rPr>
          <w:rFonts w:hint="eastAsia" w:eastAsia="仿宋_GB2312"/>
          <w:sz w:val="32"/>
          <w:szCs w:val="32"/>
        </w:rPr>
        <w:t>家孵化器</w:t>
      </w:r>
      <w:r>
        <w:rPr>
          <w:rFonts w:eastAsia="仿宋_GB2312"/>
          <w:sz w:val="32"/>
          <w:szCs w:val="32"/>
        </w:rPr>
        <w:t>(</w:t>
      </w:r>
      <w:r>
        <w:rPr>
          <w:rFonts w:hint="eastAsia" w:eastAsia="仿宋_GB2312"/>
          <w:sz w:val="32"/>
          <w:szCs w:val="32"/>
        </w:rPr>
        <w:t>众创空间</w:t>
      </w:r>
      <w:r>
        <w:rPr>
          <w:rFonts w:eastAsia="仿宋_GB2312"/>
          <w:sz w:val="32"/>
          <w:szCs w:val="32"/>
        </w:rPr>
        <w:t>)</w:t>
      </w:r>
      <w:r>
        <w:rPr>
          <w:rFonts w:hint="eastAsia" w:eastAsia="仿宋_GB2312"/>
          <w:sz w:val="32"/>
          <w:szCs w:val="32"/>
        </w:rPr>
        <w:t>享受补贴，并在中关村丰台园官微进行公示。</w:t>
      </w:r>
    </w:p>
    <w:p>
      <w:pPr>
        <w:adjustRightInd w:val="0"/>
        <w:snapToGrid w:val="0"/>
        <w:spacing w:line="560" w:lineRule="exact"/>
        <w:ind w:firstLine="643" w:firstLineChars="200"/>
        <w:rPr>
          <w:rFonts w:eastAsia="仿宋_GB2312"/>
          <w:sz w:val="32"/>
          <w:szCs w:val="32"/>
        </w:rPr>
      </w:pPr>
      <w:r>
        <w:rPr>
          <w:rFonts w:hint="eastAsia" w:eastAsia="仿宋_GB2312"/>
          <w:b/>
          <w:sz w:val="32"/>
          <w:szCs w:val="32"/>
        </w:rPr>
        <w:t>推进消费升级、产品质量提升工作信息公开。</w:t>
      </w:r>
      <w:r>
        <w:rPr>
          <w:rFonts w:hint="eastAsia" w:eastAsia="仿宋_GB2312"/>
          <w:sz w:val="32"/>
          <w:szCs w:val="32"/>
        </w:rPr>
        <w:t>每月对第三产业、文化创意产业、金融业、商务服务业等产业进行监测分析，主动公开《丰台区第三产业结构分析》《丰台区生活性服务业发展现状及需求分析》等多篇分析报告。开通“放心消费在丰台”微信公众号，推送消费提示警示信息。在全市率先上线“消费争议微信和解平台”，降低了消费维权成本，缩短了投诉解决时间。持续开展消费教育引导活动，开展消费教育活动</w:t>
      </w:r>
      <w:r>
        <w:rPr>
          <w:rFonts w:eastAsia="仿宋_GB2312"/>
          <w:sz w:val="32"/>
          <w:szCs w:val="32"/>
        </w:rPr>
        <w:t>75</w:t>
      </w:r>
      <w:r>
        <w:rPr>
          <w:rFonts w:hint="eastAsia" w:eastAsia="仿宋_GB2312"/>
          <w:sz w:val="32"/>
          <w:szCs w:val="32"/>
        </w:rPr>
        <w:t>场，受众</w:t>
      </w:r>
      <w:r>
        <w:rPr>
          <w:rFonts w:eastAsia="仿宋_GB2312"/>
          <w:sz w:val="32"/>
          <w:szCs w:val="32"/>
        </w:rPr>
        <w:t>1.7</w:t>
      </w:r>
      <w:r>
        <w:rPr>
          <w:rFonts w:hint="eastAsia" w:eastAsia="仿宋_GB2312"/>
          <w:sz w:val="32"/>
          <w:szCs w:val="32"/>
        </w:rPr>
        <w:t>万余人。重点关注节假日消费市场运行情况，全区选取</w:t>
      </w:r>
      <w:r>
        <w:rPr>
          <w:rFonts w:eastAsia="仿宋_GB2312"/>
          <w:sz w:val="32"/>
          <w:szCs w:val="32"/>
        </w:rPr>
        <w:t>50</w:t>
      </w:r>
      <w:r>
        <w:rPr>
          <w:rFonts w:hint="eastAsia" w:eastAsia="仿宋_GB2312"/>
          <w:sz w:val="32"/>
          <w:szCs w:val="32"/>
        </w:rPr>
        <w:t>余家有代表性的商场、超市、餐饮企业进行监测，掌握节假日期间销售、客流及促销情况，分析消费市场整体情况。定期汇总分析数据在网站进行公开，反映全区消费市场运行情况。</w:t>
      </w:r>
    </w:p>
    <w:p>
      <w:pPr>
        <w:adjustRightInd w:val="0"/>
        <w:snapToGrid w:val="0"/>
        <w:spacing w:line="560" w:lineRule="exact"/>
        <w:ind w:firstLine="482" w:firstLineChars="150"/>
        <w:rPr>
          <w:rFonts w:eastAsia="楷体_GB2312"/>
          <w:b/>
          <w:sz w:val="32"/>
          <w:szCs w:val="32"/>
        </w:rPr>
      </w:pPr>
      <w:r>
        <w:rPr>
          <w:rFonts w:hint="eastAsia" w:eastAsia="楷体_GB2312"/>
          <w:b/>
          <w:sz w:val="32"/>
          <w:szCs w:val="32"/>
        </w:rPr>
        <w:t>（二）以政务公开助力稳增长、防风险</w:t>
      </w:r>
    </w:p>
    <w:p>
      <w:pPr>
        <w:pStyle w:val="16"/>
        <w:ind w:firstLine="643"/>
        <w:jc w:val="both"/>
        <w:rPr>
          <w:rFonts w:ascii="Times New Roman" w:hAnsi="Times New Roman" w:cs="Times New Roman"/>
        </w:rPr>
      </w:pPr>
      <w:r>
        <w:rPr>
          <w:rFonts w:hint="eastAsia" w:ascii="Times New Roman" w:hAnsi="Times New Roman" w:cs="Times New Roman"/>
          <w:b/>
        </w:rPr>
        <w:t>加强预期引导。</w:t>
      </w:r>
      <w:r>
        <w:rPr>
          <w:rFonts w:hint="eastAsia" w:ascii="Times New Roman" w:hAnsi="Times New Roman" w:cs="Times New Roman"/>
        </w:rPr>
        <w:t>做好全区全年经济数据、经济信息、统计图表的发布，制定《丰台区</w:t>
      </w:r>
      <w:r>
        <w:rPr>
          <w:rFonts w:ascii="Times New Roman" w:hAnsi="Times New Roman" w:cs="Times New Roman"/>
        </w:rPr>
        <w:t>2017</w:t>
      </w:r>
      <w:r>
        <w:rPr>
          <w:rFonts w:hint="eastAsia" w:ascii="Times New Roman" w:hAnsi="Times New Roman" w:cs="Times New Roman"/>
        </w:rPr>
        <w:t>年重点经济指标任务分解方案》，明确重点领域政府信息发布时间节点，按照月度、季度定期公开各项重点领域政府信息。围绕区域经济运行、供给侧结构性改革、创新驱动发展、生活性服务业等领域，开展专题研究分析。</w:t>
      </w:r>
      <w:r>
        <w:rPr>
          <w:rFonts w:ascii="Times New Roman" w:hAnsi="Times New Roman" w:cs="Times New Roman"/>
        </w:rPr>
        <w:t xml:space="preserve">  </w:t>
      </w:r>
    </w:p>
    <w:p>
      <w:pPr>
        <w:pStyle w:val="16"/>
        <w:ind w:firstLine="643"/>
        <w:jc w:val="both"/>
        <w:rPr>
          <w:rFonts w:ascii="Times New Roman" w:hAnsi="Times New Roman" w:cs="Times New Roman"/>
        </w:rPr>
      </w:pPr>
      <w:r>
        <w:rPr>
          <w:rFonts w:hint="eastAsia" w:ascii="Times New Roman" w:hAnsi="Times New Roman" w:cs="Times New Roman"/>
          <w:b/>
        </w:rPr>
        <w:t>推进减税降费信息公开。</w:t>
      </w:r>
      <w:r>
        <w:rPr>
          <w:rFonts w:hint="eastAsia" w:ascii="Times New Roman" w:hAnsi="Times New Roman" w:cs="Times New Roman"/>
        </w:rPr>
        <w:t>通过政府网站、宣传手册、</w:t>
      </w:r>
      <w:r>
        <w:rPr>
          <w:rFonts w:ascii="Times New Roman" w:hAnsi="Times New Roman" w:cs="Times New Roman"/>
        </w:rPr>
        <w:t>“</w:t>
      </w:r>
      <w:r>
        <w:rPr>
          <w:rFonts w:hint="eastAsia" w:ascii="Times New Roman" w:hAnsi="Times New Roman" w:cs="Times New Roman"/>
        </w:rPr>
        <w:t>微税通</w:t>
      </w:r>
      <w:r>
        <w:rPr>
          <w:rFonts w:ascii="Times New Roman" w:hAnsi="Times New Roman" w:cs="Times New Roman"/>
        </w:rPr>
        <w:t>”</w:t>
      </w:r>
      <w:r>
        <w:rPr>
          <w:rFonts w:hint="eastAsia" w:ascii="Times New Roman" w:hAnsi="Times New Roman" w:cs="Times New Roman"/>
        </w:rPr>
        <w:t>微信订阅号等方式，多渠道对税收优惠政策进行公开，并附带减免税计算案例，方便公众理解政策和办理业务。深入推进收费清理改革，</w:t>
      </w:r>
      <w:r>
        <w:rPr>
          <w:rFonts w:ascii="Times New Roman" w:hAnsi="Times New Roman" w:cs="Times New Roman"/>
        </w:rPr>
        <w:t>2017</w:t>
      </w:r>
      <w:r>
        <w:rPr>
          <w:rFonts w:hint="eastAsia" w:ascii="Times New Roman" w:hAnsi="Times New Roman" w:cs="Times New Roman"/>
        </w:rPr>
        <w:t>年全区清理行政事业性收费和政府性基金项目共计</w:t>
      </w:r>
      <w:r>
        <w:rPr>
          <w:rFonts w:ascii="Times New Roman" w:hAnsi="Times New Roman" w:cs="Times New Roman"/>
        </w:rPr>
        <w:t>25</w:t>
      </w:r>
      <w:r>
        <w:rPr>
          <w:rFonts w:hint="eastAsia" w:ascii="Times New Roman" w:hAnsi="Times New Roman" w:cs="Times New Roman"/>
        </w:rPr>
        <w:t>项。其中，行政事业性收费</w:t>
      </w:r>
      <w:r>
        <w:rPr>
          <w:rFonts w:ascii="Times New Roman" w:hAnsi="Times New Roman" w:cs="Times New Roman"/>
        </w:rPr>
        <w:t>24</w:t>
      </w:r>
      <w:r>
        <w:rPr>
          <w:rFonts w:hint="eastAsia" w:ascii="Times New Roman" w:hAnsi="Times New Roman" w:cs="Times New Roman"/>
        </w:rPr>
        <w:t>项，政府性基金１项。对外公布全区行政事业性收费目录清单，与市级部门网站进行链接，实现及时更新。</w:t>
      </w:r>
    </w:p>
    <w:p>
      <w:pPr>
        <w:pStyle w:val="16"/>
        <w:ind w:firstLine="643"/>
        <w:jc w:val="both"/>
        <w:rPr>
          <w:rFonts w:ascii="Times New Roman" w:hAnsi="Times New Roman" w:cs="Times New Roman"/>
        </w:rPr>
      </w:pPr>
      <w:r>
        <w:rPr>
          <w:rFonts w:hint="eastAsia" w:ascii="Times New Roman" w:hAnsi="Times New Roman" w:cs="Times New Roman"/>
          <w:b/>
        </w:rPr>
        <w:t>推进财政预决算和审计信息公开。</w:t>
      </w:r>
      <w:r>
        <w:rPr>
          <w:rFonts w:hint="eastAsia" w:ascii="Times New Roman" w:hAnsi="Times New Roman" w:cs="Times New Roman"/>
        </w:rPr>
        <w:t>按规定及时组织预决算信息公开。通过首都之窗网站、丰台区政府网站、区财政局门户网站三个渠道公开丰台区</w:t>
      </w:r>
      <w:r>
        <w:rPr>
          <w:rFonts w:ascii="Times New Roman" w:hAnsi="Times New Roman" w:cs="Times New Roman"/>
        </w:rPr>
        <w:t>2016</w:t>
      </w:r>
      <w:r>
        <w:rPr>
          <w:rFonts w:hint="eastAsia" w:ascii="Times New Roman" w:hAnsi="Times New Roman" w:cs="Times New Roman"/>
        </w:rPr>
        <w:t>年预算执行情况和</w:t>
      </w:r>
      <w:r>
        <w:rPr>
          <w:rFonts w:ascii="Times New Roman" w:hAnsi="Times New Roman" w:cs="Times New Roman"/>
        </w:rPr>
        <w:t>2017</w:t>
      </w:r>
      <w:r>
        <w:rPr>
          <w:rFonts w:hint="eastAsia" w:ascii="Times New Roman" w:hAnsi="Times New Roman" w:cs="Times New Roman"/>
        </w:rPr>
        <w:t>年预算草案及报告、丰台区</w:t>
      </w:r>
      <w:r>
        <w:rPr>
          <w:rFonts w:ascii="Times New Roman" w:hAnsi="Times New Roman" w:cs="Times New Roman"/>
        </w:rPr>
        <w:t>2016</w:t>
      </w:r>
      <w:r>
        <w:rPr>
          <w:rFonts w:hint="eastAsia" w:ascii="Times New Roman" w:hAnsi="Times New Roman" w:cs="Times New Roman"/>
        </w:rPr>
        <w:t>年决算草案及报告。其中，丰台区</w:t>
      </w:r>
      <w:r>
        <w:rPr>
          <w:rFonts w:ascii="Times New Roman" w:hAnsi="Times New Roman" w:cs="Times New Roman"/>
        </w:rPr>
        <w:t>2017</w:t>
      </w:r>
      <w:r>
        <w:rPr>
          <w:rFonts w:hint="eastAsia" w:ascii="Times New Roman" w:hAnsi="Times New Roman" w:cs="Times New Roman"/>
        </w:rPr>
        <w:t>年“三公”经费预算安排情况包含在政府预算报告中进行公开，政府债务限额及余额情况包含在政府预算草案中进行公开，丰台区</w:t>
      </w:r>
      <w:r>
        <w:rPr>
          <w:rFonts w:ascii="Times New Roman" w:hAnsi="Times New Roman" w:cs="Times New Roman"/>
        </w:rPr>
        <w:t>2016</w:t>
      </w:r>
      <w:r>
        <w:rPr>
          <w:rFonts w:hint="eastAsia" w:ascii="Times New Roman" w:hAnsi="Times New Roman" w:cs="Times New Roman"/>
        </w:rPr>
        <w:t>年“三公”经费决算包含在政府决算报告中进行公开并附详细说明。实现除涉密信息外，所有使用财政拨款的单位均按照“统一时间、统一格式”的要求通过丰台区预决算公开专栏公开本部门预、决算信息。推进审计监督的“全覆盖”，出台了《关于建立审计监督协调机制的意见》，对该意见从建立审计监督协调机制的意义、职责范围、审计监督协调机制的内容和建立监督协调机制的工作要求等四个方面进行了全面解读，并在丰台区门户网站上同步进行了公开。</w:t>
      </w:r>
    </w:p>
    <w:p>
      <w:pPr>
        <w:pStyle w:val="16"/>
        <w:ind w:firstLine="643"/>
        <w:jc w:val="both"/>
        <w:rPr>
          <w:rFonts w:ascii="Times New Roman" w:hAnsi="Times New Roman" w:cs="Times New Roman"/>
        </w:rPr>
      </w:pPr>
      <w:r>
        <w:rPr>
          <w:rFonts w:hint="eastAsia" w:ascii="Times New Roman" w:hAnsi="Times New Roman" w:cs="Times New Roman"/>
          <w:b/>
        </w:rPr>
        <w:t>围绕防范金融风险推进公开。</w:t>
      </w:r>
      <w:r>
        <w:rPr>
          <w:rFonts w:hint="eastAsia" w:ascii="Times New Roman" w:hAnsi="Times New Roman" w:cs="Times New Roman"/>
        </w:rPr>
        <w:t>对</w:t>
      </w:r>
      <w:r>
        <w:rPr>
          <w:rFonts w:ascii="Times New Roman" w:hAnsi="Times New Roman" w:cs="Times New Roman"/>
        </w:rPr>
        <w:t>837</w:t>
      </w:r>
      <w:r>
        <w:rPr>
          <w:rFonts w:hint="eastAsia" w:ascii="Times New Roman" w:hAnsi="Times New Roman" w:cs="Times New Roman"/>
        </w:rPr>
        <w:t>户投融资类市场主体进行抽查，并将存在经营异常情形的</w:t>
      </w:r>
      <w:r>
        <w:rPr>
          <w:rFonts w:ascii="Times New Roman" w:hAnsi="Times New Roman" w:cs="Times New Roman"/>
        </w:rPr>
        <w:t>597</w:t>
      </w:r>
      <w:r>
        <w:rPr>
          <w:rFonts w:hint="eastAsia" w:ascii="Times New Roman" w:hAnsi="Times New Roman" w:cs="Times New Roman"/>
        </w:rPr>
        <w:t>户企业列入到经营异常名录并对社会公示。对小贷公司开展现场检查，对存在问题的小贷公司及时进行风险提示，并责令问题较严重的小贷公司停业整改。将小贷公司、交易场所设立变更认定、初审等权利公开运行流程图、办事指南及行政检查权力清单及现场检查工作流程图在网站上进行公示。每周定期发布金融资讯，对新出台的金融政策做好解读工作，引导辖区居民学习金融知识，培育良好金融氛围。</w:t>
      </w:r>
    </w:p>
    <w:p>
      <w:pPr>
        <w:pStyle w:val="16"/>
        <w:ind w:firstLine="643"/>
        <w:jc w:val="both"/>
        <w:rPr>
          <w:rFonts w:ascii="Times New Roman" w:hAnsi="Times New Roman" w:eastAsia="仿宋" w:cs="Times New Roman"/>
        </w:rPr>
      </w:pPr>
      <w:r>
        <w:rPr>
          <w:rFonts w:hint="eastAsia" w:ascii="Times New Roman" w:hAnsi="Times New Roman" w:cs="Times New Roman"/>
          <w:b/>
        </w:rPr>
        <w:t>推进重大建设项目和公共资源配置信息公开。</w:t>
      </w:r>
      <w:r>
        <w:rPr>
          <w:rFonts w:hint="eastAsia" w:ascii="Times New Roman" w:hAnsi="Times New Roman" w:eastAsia="仿宋" w:cs="Times New Roman"/>
        </w:rPr>
        <w:t>做好生态环境、轨道交通等重大建设项目审批、核准等结果公开。及时发布重点建设项目目录，做好招标公告、开标信息、中标公示、合同备案、施工许可、竣工验收备案、行政处罚结果等事项公开。及时公开重大建设项目稽察计划、专项稽察工作进展情况。及时发布重大项目建设重要节点信息。推进全区公共资源配置平台建设，制定发布公共资源交易监督管理办法和公共资源交易目录，实现交易公告、资格审查信息、交易过程信息、成交信息在平台上统一发布，推进公共资源配置全流程透明化。</w:t>
      </w:r>
    </w:p>
    <w:p>
      <w:pPr>
        <w:pStyle w:val="16"/>
        <w:ind w:firstLine="643"/>
        <w:jc w:val="both"/>
        <w:rPr>
          <w:rFonts w:ascii="Times New Roman" w:hAnsi="Times New Roman" w:eastAsia="仿宋" w:cs="Times New Roman"/>
        </w:rPr>
      </w:pPr>
      <w:r>
        <w:rPr>
          <w:rFonts w:hint="eastAsia" w:ascii="Times New Roman" w:hAnsi="Times New Roman" w:cs="Times New Roman"/>
          <w:b/>
        </w:rPr>
        <w:t>做好征地和房地产市场发展信息公开。</w:t>
      </w:r>
      <w:r>
        <w:rPr>
          <w:rFonts w:hint="eastAsia" w:ascii="Times New Roman" w:hAnsi="Times New Roman" w:cs="Times New Roman"/>
        </w:rPr>
        <w:t>及时发布土地供应计划、出让公告、成交结果及征地信息。全年共发布土地供应计划信息</w:t>
      </w:r>
      <w:r>
        <w:rPr>
          <w:rFonts w:ascii="Times New Roman" w:hAnsi="Times New Roman" w:cs="Times New Roman"/>
        </w:rPr>
        <w:t>1</w:t>
      </w:r>
      <w:r>
        <w:rPr>
          <w:rFonts w:hint="eastAsia" w:ascii="Times New Roman" w:hAnsi="Times New Roman" w:cs="Times New Roman"/>
        </w:rPr>
        <w:t>条，土地划拨结果公告信息</w:t>
      </w:r>
      <w:r>
        <w:rPr>
          <w:rFonts w:ascii="Times New Roman" w:hAnsi="Times New Roman" w:cs="Times New Roman"/>
        </w:rPr>
        <w:t>33</w:t>
      </w:r>
      <w:r>
        <w:rPr>
          <w:rFonts w:hint="eastAsia" w:ascii="Times New Roman" w:hAnsi="Times New Roman" w:cs="Times New Roman"/>
        </w:rPr>
        <w:t>条，成交公示信息</w:t>
      </w:r>
      <w:r>
        <w:rPr>
          <w:rFonts w:ascii="Times New Roman" w:hAnsi="Times New Roman" w:cs="Times New Roman"/>
        </w:rPr>
        <w:t>50</w:t>
      </w:r>
      <w:r>
        <w:rPr>
          <w:rFonts w:hint="eastAsia" w:ascii="Times New Roman" w:hAnsi="Times New Roman" w:cs="Times New Roman"/>
        </w:rPr>
        <w:t>条。</w:t>
      </w:r>
      <w:r>
        <w:rPr>
          <w:rFonts w:hint="eastAsia" w:ascii="Times New Roman" w:hAnsi="Times New Roman" w:eastAsia="仿宋" w:cs="Times New Roman"/>
        </w:rPr>
        <w:t>围绕促进房地产市场平稳健康发展推进公开，建立房地产市场信息定期发布机制，继续做好预售、现售项目信息公示。及时公开房地产中介机构“双随机”检查及监管执法情况。及时公开保障性住房年度建设计划及完成情况，以及保障性住房分配对象、房源、程序、过程、结果及退出等信息。</w:t>
      </w:r>
    </w:p>
    <w:p>
      <w:pPr>
        <w:pStyle w:val="16"/>
        <w:ind w:firstLine="643"/>
        <w:jc w:val="both"/>
        <w:rPr>
          <w:rFonts w:ascii="Times New Roman" w:hAnsi="Times New Roman" w:cs="Times New Roman"/>
          <w:bCs/>
          <w:kern w:val="0"/>
        </w:rPr>
      </w:pPr>
      <w:r>
        <w:rPr>
          <w:rFonts w:hint="eastAsia" w:ascii="Times New Roman" w:hAnsi="Times New Roman" w:cs="Times New Roman"/>
          <w:b/>
        </w:rPr>
        <w:t>推进政府和社会资本合作</w:t>
      </w:r>
      <w:r>
        <w:rPr>
          <w:rFonts w:ascii="Times New Roman" w:hAnsi="Times New Roman" w:cs="Times New Roman"/>
          <w:b/>
        </w:rPr>
        <w:t>(PPP)</w:t>
      </w:r>
      <w:r>
        <w:rPr>
          <w:rFonts w:hint="eastAsia" w:ascii="Times New Roman" w:hAnsi="Times New Roman" w:cs="Times New Roman"/>
          <w:b/>
        </w:rPr>
        <w:t>项目及政府采购信息公开。</w:t>
      </w:r>
      <w:r>
        <w:rPr>
          <w:rFonts w:hint="eastAsia" w:ascii="Times New Roman" w:hAnsi="Times New Roman" w:cs="Times New Roman"/>
        </w:rPr>
        <w:t>公开</w:t>
      </w:r>
      <w:r>
        <w:rPr>
          <w:rFonts w:ascii="Times New Roman" w:hAnsi="Times New Roman" w:cs="Times New Roman"/>
        </w:rPr>
        <w:t>PPP</w:t>
      </w:r>
      <w:r>
        <w:rPr>
          <w:rFonts w:hint="eastAsia" w:ascii="Times New Roman" w:hAnsi="Times New Roman" w:cs="Times New Roman"/>
        </w:rPr>
        <w:t>项目基本情况、政府及社会资本出资情况、合作模式、合作期限等信息。</w:t>
      </w:r>
      <w:r>
        <w:rPr>
          <w:rFonts w:ascii="Times New Roman" w:hAnsi="Times New Roman" w:cs="Times New Roman"/>
        </w:rPr>
        <w:t>PPP</w:t>
      </w:r>
      <w:r>
        <w:rPr>
          <w:rFonts w:hint="eastAsia" w:ascii="Times New Roman" w:hAnsi="Times New Roman" w:cs="Times New Roman"/>
        </w:rPr>
        <w:t>项目信息公开主要包括项目基本信息、政府采购资格预审公告、采购文件、中标或成交结果等信息。</w:t>
      </w:r>
      <w:r>
        <w:rPr>
          <w:rFonts w:hint="eastAsia" w:ascii="Times New Roman" w:hAnsi="Times New Roman" w:cs="Times New Roman"/>
          <w:bCs/>
          <w:kern w:val="0"/>
        </w:rPr>
        <w:t>落实《北京市财政局转发财政部进一步做好政府采购信息公开工作有关事项的通知》，按规定对政府采购投诉处理结果进行信息公开。</w:t>
      </w:r>
    </w:p>
    <w:p>
      <w:pPr>
        <w:adjustRightInd w:val="0"/>
        <w:snapToGrid w:val="0"/>
        <w:spacing w:line="560" w:lineRule="exact"/>
        <w:ind w:firstLine="482" w:firstLineChars="150"/>
        <w:rPr>
          <w:rFonts w:eastAsia="楷体_GB2312"/>
          <w:b/>
          <w:sz w:val="32"/>
          <w:szCs w:val="32"/>
        </w:rPr>
      </w:pPr>
      <w:r>
        <w:rPr>
          <w:rFonts w:hint="eastAsia" w:eastAsia="楷体_GB2312"/>
          <w:b/>
          <w:sz w:val="32"/>
          <w:szCs w:val="32"/>
        </w:rPr>
        <w:t>（三）以政务公开助力促改革、强管理</w:t>
      </w:r>
    </w:p>
    <w:p>
      <w:pPr>
        <w:spacing w:line="520" w:lineRule="exact"/>
        <w:ind w:firstLine="643" w:firstLineChars="200"/>
        <w:rPr>
          <w:rFonts w:eastAsia="仿宋_GB2312"/>
          <w:sz w:val="32"/>
          <w:szCs w:val="32"/>
        </w:rPr>
      </w:pPr>
      <w:r>
        <w:rPr>
          <w:rFonts w:hint="eastAsia" w:eastAsia="仿宋_GB2312"/>
          <w:b/>
          <w:sz w:val="32"/>
          <w:szCs w:val="32"/>
        </w:rPr>
        <w:t>推进简政放权各类清单公开。</w:t>
      </w:r>
      <w:r>
        <w:rPr>
          <w:rFonts w:hint="eastAsia" w:eastAsia="仿宋_GB2312"/>
          <w:sz w:val="32"/>
          <w:szCs w:val="32"/>
        </w:rPr>
        <w:t>在市政府各部门统一梳理并对外公布的市区共有职权和区级独有职权事项基础上，组织区属相关部门进行梳理、审核和确认，明确市区共有职权事项和区级独有事项，形成区政府部门权力清单，并对外公布，努力实现区政府部门权力清单的规范化、标准化，加快形成便于群众办事、便于企业创业、便于部门操作、便于社会监督的精简统一、标准规范、职权明确、层级清晰的区政府部门权力清单。结合“先照后证”、“五证合一”、全程电子化、简易注销等商事登记制度改革等重点工作，建立</w:t>
      </w:r>
      <w:r>
        <w:rPr>
          <w:rFonts w:eastAsia="仿宋_GB2312"/>
          <w:sz w:val="32"/>
          <w:szCs w:val="32"/>
        </w:rPr>
        <w:t>e</w:t>
      </w:r>
      <w:r>
        <w:rPr>
          <w:rFonts w:hint="eastAsia" w:eastAsia="仿宋_GB2312"/>
          <w:sz w:val="32"/>
          <w:szCs w:val="32"/>
        </w:rPr>
        <w:t>服务大厅，通过北京电视台等新闻媒体、电子触摸屏和大厅张贴公告等方式主动公开登记注册相关文件及便利服务举措。</w:t>
      </w:r>
    </w:p>
    <w:p>
      <w:pPr>
        <w:adjustRightInd w:val="0"/>
        <w:snapToGrid w:val="0"/>
        <w:spacing w:line="560" w:lineRule="exact"/>
        <w:ind w:firstLine="643" w:firstLineChars="200"/>
        <w:rPr>
          <w:rFonts w:eastAsia="仿宋_GB2312"/>
          <w:sz w:val="32"/>
          <w:szCs w:val="32"/>
        </w:rPr>
      </w:pPr>
      <w:r>
        <w:rPr>
          <w:rFonts w:hint="eastAsia" w:eastAsia="仿宋_GB2312"/>
          <w:b/>
          <w:sz w:val="32"/>
          <w:szCs w:val="32"/>
        </w:rPr>
        <w:t>推进企业信用信息公开。</w:t>
      </w:r>
      <w:r>
        <w:rPr>
          <w:rFonts w:hint="eastAsia" w:eastAsia="仿宋_GB2312"/>
          <w:sz w:val="32"/>
          <w:szCs w:val="32"/>
        </w:rPr>
        <w:t>以北京市企业信用信息网为依托，整合社会各方企业信用信息资源，推进“丰台区市场主体信用信息网”建设。融合全区</w:t>
      </w:r>
      <w:r>
        <w:rPr>
          <w:rFonts w:eastAsia="仿宋_GB2312"/>
          <w:sz w:val="32"/>
          <w:szCs w:val="32"/>
        </w:rPr>
        <w:t>49</w:t>
      </w:r>
      <w:r>
        <w:rPr>
          <w:rFonts w:hint="eastAsia" w:eastAsia="仿宋_GB2312"/>
          <w:sz w:val="32"/>
          <w:szCs w:val="32"/>
        </w:rPr>
        <w:t>个委办局，对登记准入、行政许可、行政处罚等市场主体信用信息进行归集汇总并公示。全年共开展</w:t>
      </w:r>
      <w:r>
        <w:rPr>
          <w:rFonts w:eastAsia="仿宋_GB2312"/>
          <w:sz w:val="32"/>
          <w:szCs w:val="32"/>
        </w:rPr>
        <w:t>13</w:t>
      </w:r>
      <w:r>
        <w:rPr>
          <w:rFonts w:hint="eastAsia" w:eastAsia="仿宋_GB2312"/>
          <w:sz w:val="32"/>
          <w:szCs w:val="32"/>
        </w:rPr>
        <w:t>次公示信息抽查，涉及市场主体</w:t>
      </w:r>
      <w:r>
        <w:rPr>
          <w:rFonts w:eastAsia="仿宋_GB2312"/>
          <w:sz w:val="32"/>
          <w:szCs w:val="32"/>
        </w:rPr>
        <w:t>10393</w:t>
      </w:r>
      <w:r>
        <w:rPr>
          <w:rFonts w:hint="eastAsia" w:eastAsia="仿宋_GB2312"/>
          <w:sz w:val="32"/>
          <w:szCs w:val="32"/>
        </w:rPr>
        <w:t>户，完成抽查</w:t>
      </w:r>
      <w:r>
        <w:rPr>
          <w:rFonts w:eastAsia="仿宋_GB2312"/>
          <w:sz w:val="32"/>
          <w:szCs w:val="32"/>
        </w:rPr>
        <w:t>10393</w:t>
      </w:r>
      <w:r>
        <w:rPr>
          <w:rFonts w:hint="eastAsia" w:eastAsia="仿宋_GB2312"/>
          <w:sz w:val="32"/>
          <w:szCs w:val="32"/>
        </w:rPr>
        <w:t>户，并将抽查结果全部对社会公示。以信用应用集群化为突破口，将政府部门、社会组织和相关行业企业纳入到信用治理的格局中，举多元共治之力，努力打造成熟的区域信用体系。加强信息归集和信用惩戒，将</w:t>
      </w:r>
      <w:r>
        <w:rPr>
          <w:rFonts w:eastAsia="仿宋_GB2312"/>
          <w:sz w:val="32"/>
          <w:szCs w:val="32"/>
        </w:rPr>
        <w:t>2.8</w:t>
      </w:r>
      <w:r>
        <w:rPr>
          <w:rFonts w:hint="eastAsia" w:eastAsia="仿宋_GB2312"/>
          <w:sz w:val="32"/>
          <w:szCs w:val="32"/>
        </w:rPr>
        <w:t>万户企业列入经营异常名录。与邮储银行、区担保公司等合作，为信用良好的小微企业提供贷款。</w:t>
      </w:r>
    </w:p>
    <w:p>
      <w:pPr>
        <w:adjustRightInd w:val="0"/>
        <w:snapToGrid w:val="0"/>
        <w:spacing w:line="560" w:lineRule="exact"/>
        <w:ind w:firstLine="643" w:firstLineChars="200"/>
        <w:rPr>
          <w:rFonts w:eastAsia="仿宋_GB2312"/>
          <w:sz w:val="32"/>
          <w:szCs w:val="32"/>
        </w:rPr>
      </w:pPr>
      <w:r>
        <w:rPr>
          <w:rFonts w:hint="eastAsia" w:eastAsia="仿宋_GB2312"/>
          <w:b/>
          <w:sz w:val="32"/>
          <w:szCs w:val="32"/>
        </w:rPr>
        <w:t>推进社会组织信息公开。</w:t>
      </w:r>
      <w:r>
        <w:rPr>
          <w:rFonts w:hint="eastAsia" w:eastAsia="仿宋_GB2312"/>
          <w:sz w:val="32"/>
          <w:szCs w:val="32"/>
        </w:rPr>
        <w:t>依托北京市社会组织公共服务平台，实时公开了全区</w:t>
      </w:r>
      <w:r>
        <w:rPr>
          <w:rFonts w:eastAsia="仿宋_GB2312"/>
          <w:sz w:val="32"/>
          <w:szCs w:val="32"/>
        </w:rPr>
        <w:t>488</w:t>
      </w:r>
      <w:r>
        <w:rPr>
          <w:rFonts w:hint="eastAsia" w:eastAsia="仿宋_GB2312"/>
          <w:sz w:val="32"/>
          <w:szCs w:val="32"/>
        </w:rPr>
        <w:t>家登记注册的社会组织基本信息。在实地勘察和章程核准工作程序落实后，公开社会组织变更以及注销事项。全年完成对</w:t>
      </w:r>
      <w:r>
        <w:rPr>
          <w:rFonts w:eastAsia="仿宋_GB2312"/>
          <w:sz w:val="32"/>
          <w:szCs w:val="32"/>
        </w:rPr>
        <w:t>390</w:t>
      </w:r>
      <w:r>
        <w:rPr>
          <w:rFonts w:hint="eastAsia" w:eastAsia="仿宋_GB2312"/>
          <w:sz w:val="32"/>
          <w:szCs w:val="32"/>
        </w:rPr>
        <w:t>家社会组织的年度检查，年检结果以及多项行政许可信息均可实现实时查询。</w:t>
      </w:r>
      <w:r>
        <w:rPr>
          <w:rFonts w:eastAsia="仿宋_GB2312"/>
          <w:sz w:val="32"/>
          <w:szCs w:val="32"/>
        </w:rPr>
        <w:t>2017</w:t>
      </w:r>
      <w:r>
        <w:rPr>
          <w:rFonts w:hint="eastAsia" w:eastAsia="仿宋_GB2312"/>
          <w:sz w:val="32"/>
          <w:szCs w:val="32"/>
        </w:rPr>
        <w:t>年通过委托第三方专业评估机构以及区社会组织评估委员会审议，最终确定</w:t>
      </w:r>
      <w:r>
        <w:rPr>
          <w:rFonts w:eastAsia="仿宋_GB2312"/>
          <w:sz w:val="32"/>
          <w:szCs w:val="32"/>
        </w:rPr>
        <w:t>5A</w:t>
      </w:r>
      <w:r>
        <w:rPr>
          <w:rFonts w:hint="eastAsia" w:eastAsia="仿宋_GB2312"/>
          <w:sz w:val="32"/>
          <w:szCs w:val="32"/>
        </w:rPr>
        <w:t>级社会组织</w:t>
      </w:r>
      <w:r>
        <w:rPr>
          <w:rFonts w:eastAsia="仿宋_GB2312"/>
          <w:sz w:val="32"/>
          <w:szCs w:val="32"/>
        </w:rPr>
        <w:t>8</w:t>
      </w:r>
      <w:r>
        <w:rPr>
          <w:rFonts w:hint="eastAsia" w:eastAsia="仿宋_GB2312"/>
          <w:sz w:val="32"/>
          <w:szCs w:val="32"/>
        </w:rPr>
        <w:t>个、</w:t>
      </w:r>
      <w:r>
        <w:rPr>
          <w:rFonts w:eastAsia="仿宋_GB2312"/>
          <w:sz w:val="32"/>
          <w:szCs w:val="32"/>
        </w:rPr>
        <w:t>4A</w:t>
      </w:r>
      <w:r>
        <w:rPr>
          <w:rFonts w:hint="eastAsia" w:eastAsia="仿宋_GB2312"/>
          <w:sz w:val="32"/>
          <w:szCs w:val="32"/>
        </w:rPr>
        <w:t>级社会组织</w:t>
      </w:r>
      <w:r>
        <w:rPr>
          <w:rFonts w:eastAsia="仿宋_GB2312"/>
          <w:sz w:val="32"/>
          <w:szCs w:val="32"/>
        </w:rPr>
        <w:t>16</w:t>
      </w:r>
      <w:r>
        <w:rPr>
          <w:rFonts w:hint="eastAsia" w:eastAsia="仿宋_GB2312"/>
          <w:sz w:val="32"/>
          <w:szCs w:val="32"/>
        </w:rPr>
        <w:t>个、</w:t>
      </w:r>
      <w:r>
        <w:rPr>
          <w:rFonts w:eastAsia="仿宋_GB2312"/>
          <w:sz w:val="32"/>
          <w:szCs w:val="32"/>
        </w:rPr>
        <w:t>3A</w:t>
      </w:r>
      <w:r>
        <w:rPr>
          <w:rFonts w:hint="eastAsia" w:eastAsia="仿宋_GB2312"/>
          <w:sz w:val="32"/>
          <w:szCs w:val="32"/>
        </w:rPr>
        <w:t>级社会组织</w:t>
      </w:r>
      <w:r>
        <w:rPr>
          <w:rFonts w:eastAsia="仿宋_GB2312"/>
          <w:sz w:val="32"/>
          <w:szCs w:val="32"/>
        </w:rPr>
        <w:t>36</w:t>
      </w:r>
      <w:r>
        <w:rPr>
          <w:rFonts w:hint="eastAsia" w:eastAsia="仿宋_GB2312"/>
          <w:sz w:val="32"/>
          <w:szCs w:val="32"/>
        </w:rPr>
        <w:t>个。评估结果同时在区民政局政务门户网站及北京市社会组织公共服务平台登载，加强全社会对社会组织的监督管理，促进社会组织健康有序发展。</w:t>
      </w:r>
    </w:p>
    <w:p>
      <w:pPr>
        <w:adjustRightInd w:val="0"/>
        <w:snapToGrid w:val="0"/>
        <w:spacing w:line="560" w:lineRule="exact"/>
        <w:ind w:firstLine="643" w:firstLineChars="200"/>
        <w:rPr>
          <w:rFonts w:eastAsia="仿宋_GB2312"/>
          <w:sz w:val="32"/>
          <w:szCs w:val="32"/>
        </w:rPr>
      </w:pPr>
      <w:r>
        <w:rPr>
          <w:rFonts w:hint="eastAsia" w:eastAsia="仿宋_GB2312"/>
          <w:b/>
          <w:sz w:val="32"/>
          <w:szCs w:val="32"/>
        </w:rPr>
        <w:t>推进农业供给侧结构性改革信息公开。</w:t>
      </w:r>
      <w:r>
        <w:rPr>
          <w:rFonts w:hint="eastAsia" w:eastAsia="仿宋_GB2312"/>
          <w:sz w:val="32"/>
          <w:szCs w:val="32"/>
        </w:rPr>
        <w:t>在区农委网站城乡一体化栏目及时更新工作动态，积极做好公开、解读、回应三个重要环节的落实。在农村产业发展方面，对农村经济增长、加快推进农村产业转型升级、推进现代种业发展等工作情况进行了公开。在推进农村城市化进程和城镇化改革方面，对推进新型城镇化改革、深化产权制度改革、农村集体土地经营权确权登记颁证试点、整建制农转居及征地转非、加强农村“三农”管理、推进经济薄弱村帮扶等工作情况进行了公开。</w:t>
      </w:r>
    </w:p>
    <w:p>
      <w:pPr>
        <w:adjustRightInd w:val="0"/>
        <w:snapToGrid w:val="0"/>
        <w:spacing w:line="560" w:lineRule="exact"/>
        <w:ind w:firstLine="643" w:firstLineChars="200"/>
        <w:rPr>
          <w:rFonts w:eastAsia="仿宋_GB2312"/>
          <w:sz w:val="32"/>
          <w:szCs w:val="32"/>
        </w:rPr>
      </w:pPr>
      <w:r>
        <w:rPr>
          <w:rFonts w:hint="eastAsia" w:eastAsia="仿宋_GB2312"/>
          <w:b/>
          <w:sz w:val="32"/>
          <w:szCs w:val="32"/>
        </w:rPr>
        <w:t>推进监管和执法信息公开。</w:t>
      </w:r>
      <w:r>
        <w:rPr>
          <w:rFonts w:hint="eastAsia" w:eastAsia="仿宋_GB2312"/>
          <w:sz w:val="32"/>
          <w:szCs w:val="32"/>
        </w:rPr>
        <w:t>推进“双随机、一公开”工作，开展对全区</w:t>
      </w:r>
      <w:r>
        <w:rPr>
          <w:rFonts w:eastAsia="仿宋_GB2312"/>
          <w:sz w:val="32"/>
          <w:szCs w:val="32"/>
        </w:rPr>
        <w:t>51</w:t>
      </w:r>
      <w:r>
        <w:rPr>
          <w:rFonts w:hint="eastAsia" w:eastAsia="仿宋_GB2312"/>
          <w:sz w:val="32"/>
          <w:szCs w:val="32"/>
        </w:rPr>
        <w:t>个行政处罚职权主体的清理，确认全区目前行政处罚权力为</w:t>
      </w:r>
      <w:r>
        <w:rPr>
          <w:rFonts w:eastAsia="仿宋_GB2312"/>
          <w:sz w:val="32"/>
          <w:szCs w:val="32"/>
        </w:rPr>
        <w:t>5123</w:t>
      </w:r>
      <w:r>
        <w:rPr>
          <w:rFonts w:hint="eastAsia" w:eastAsia="仿宋_GB2312"/>
          <w:sz w:val="32"/>
          <w:szCs w:val="32"/>
        </w:rPr>
        <w:t>项，在区政府门户网站主动公开了“行政处罚权力清单”信息。</w:t>
      </w:r>
    </w:p>
    <w:p>
      <w:pPr>
        <w:adjustRightInd w:val="0"/>
        <w:snapToGrid w:val="0"/>
        <w:spacing w:line="560" w:lineRule="exact"/>
        <w:ind w:firstLine="643" w:firstLineChars="200"/>
        <w:rPr>
          <w:rFonts w:eastAsia="仿宋_GB2312"/>
          <w:sz w:val="32"/>
          <w:szCs w:val="32"/>
          <w:shd w:val="clear" w:color="auto" w:fill="FFFFFF"/>
        </w:rPr>
      </w:pPr>
      <w:r>
        <w:rPr>
          <w:rFonts w:hint="eastAsia" w:eastAsia="仿宋_GB2312"/>
          <w:b/>
          <w:sz w:val="32"/>
          <w:szCs w:val="32"/>
        </w:rPr>
        <w:t>加大安全生产监管监察信息公开力度。</w:t>
      </w:r>
      <w:r>
        <w:rPr>
          <w:rFonts w:hint="eastAsia" w:eastAsia="仿宋_GB2312"/>
          <w:sz w:val="32"/>
          <w:szCs w:val="32"/>
        </w:rPr>
        <w:t>在区安全生产监管局网站专栏发布危险化学品经营许可证核发、烟花爆竹零售网点许可、执法检查及行政处罚、事故调查处理调查报告、事故快报等信息。每月定期发布</w:t>
      </w:r>
      <w:r>
        <w:rPr>
          <w:rFonts w:hint="eastAsia" w:eastAsia="仿宋_GB2312"/>
          <w:sz w:val="32"/>
          <w:szCs w:val="32"/>
          <w:shd w:val="clear" w:color="auto" w:fill="FFFFFF"/>
        </w:rPr>
        <w:t>全区安全生产死亡事故数，其中包括：道路交通死亡事故数、非生产经营性火灾死亡事故数、生产安全死亡事故数、食品安全死亡事故基本数等信息。</w:t>
      </w:r>
    </w:p>
    <w:p>
      <w:pPr>
        <w:adjustRightInd w:val="0"/>
        <w:snapToGrid w:val="0"/>
        <w:spacing w:line="560" w:lineRule="exact"/>
        <w:ind w:firstLine="643" w:firstLineChars="200"/>
        <w:rPr>
          <w:rFonts w:eastAsia="仿宋_GB2312"/>
          <w:sz w:val="32"/>
          <w:szCs w:val="32"/>
        </w:rPr>
      </w:pPr>
      <w:r>
        <w:rPr>
          <w:rFonts w:hint="eastAsia" w:eastAsia="仿宋_GB2312"/>
          <w:b/>
          <w:sz w:val="32"/>
          <w:szCs w:val="32"/>
        </w:rPr>
        <w:t>推进制售假冒伪劣商品行政处罚案件信息公开。</w:t>
      </w:r>
      <w:r>
        <w:rPr>
          <w:rFonts w:hint="eastAsia" w:eastAsia="仿宋_GB2312"/>
          <w:sz w:val="32"/>
          <w:szCs w:val="32"/>
        </w:rPr>
        <w:t>印发了《丰台区落实制售假冒伪劣商品和侵犯知识产权行政处罚案件信息公开工作监督实施方案》，开展了丰台区制售假冒伪劣商品和侵犯知识产权行政处罚案件信息公开权力清单梳理工作，各单位依职责全部按要求公开行政处罚案件信息，同时按要求将打击侵权假冒</w:t>
      </w:r>
      <w:r>
        <w:rPr>
          <w:rFonts w:eastAsia="仿宋_GB2312"/>
          <w:sz w:val="32"/>
          <w:szCs w:val="32"/>
        </w:rPr>
        <w:t>“</w:t>
      </w:r>
      <w:r>
        <w:rPr>
          <w:rFonts w:hint="eastAsia" w:eastAsia="仿宋_GB2312"/>
          <w:sz w:val="32"/>
          <w:szCs w:val="32"/>
        </w:rPr>
        <w:t>两法衔接</w:t>
      </w:r>
      <w:r>
        <w:rPr>
          <w:rFonts w:eastAsia="仿宋_GB2312"/>
          <w:sz w:val="32"/>
          <w:szCs w:val="32"/>
        </w:rPr>
        <w:t>”</w:t>
      </w:r>
      <w:r>
        <w:rPr>
          <w:rFonts w:hint="eastAsia" w:eastAsia="仿宋_GB2312"/>
          <w:sz w:val="32"/>
          <w:szCs w:val="32"/>
        </w:rPr>
        <w:t>信息平台数据全部录入。</w:t>
      </w:r>
    </w:p>
    <w:p>
      <w:pPr>
        <w:adjustRightInd w:val="0"/>
        <w:snapToGrid w:val="0"/>
        <w:spacing w:line="560" w:lineRule="exact"/>
        <w:ind w:firstLine="643" w:firstLineChars="200"/>
        <w:rPr>
          <w:rFonts w:eastAsia="仿宋_GB2312"/>
          <w:sz w:val="32"/>
          <w:szCs w:val="32"/>
        </w:rPr>
      </w:pPr>
      <w:r>
        <w:rPr>
          <w:rFonts w:hint="eastAsia" w:eastAsia="仿宋_GB2312"/>
          <w:b/>
          <w:sz w:val="32"/>
          <w:szCs w:val="32"/>
        </w:rPr>
        <w:t>推进旅游市场综合监管和联合执法检查情况公开。</w:t>
      </w:r>
      <w:r>
        <w:rPr>
          <w:rFonts w:hint="eastAsia" w:eastAsia="仿宋_GB2312"/>
          <w:sz w:val="32"/>
          <w:szCs w:val="32"/>
        </w:rPr>
        <w:t>大力开展旅游市场专项整治和联合执法检查工作，集中更新景区、景点、宾馆饭店基本情况，公布了《旅游投诉处理程序》《行政处罚权力运行流程图》《丰台区旅行社门市部及营业网点名录》及《丰台区旅行社分社、分公司名录》等信息。</w:t>
      </w:r>
    </w:p>
    <w:p>
      <w:pPr>
        <w:spacing w:line="560" w:lineRule="exact"/>
        <w:ind w:firstLine="482" w:firstLineChars="150"/>
        <w:rPr>
          <w:rFonts w:eastAsia="楷体_GB2312"/>
          <w:b/>
          <w:sz w:val="32"/>
          <w:szCs w:val="32"/>
        </w:rPr>
      </w:pPr>
      <w:r>
        <w:rPr>
          <w:rFonts w:hint="eastAsia" w:eastAsia="楷体_GB2312"/>
          <w:b/>
          <w:sz w:val="32"/>
          <w:szCs w:val="32"/>
        </w:rPr>
        <w:t>（四）以政务公开助力惠民生、促服务</w:t>
      </w:r>
    </w:p>
    <w:p>
      <w:pPr>
        <w:adjustRightInd w:val="0"/>
        <w:snapToGrid w:val="0"/>
        <w:spacing w:line="560" w:lineRule="exact"/>
        <w:ind w:firstLine="643" w:firstLineChars="200"/>
        <w:rPr>
          <w:rFonts w:eastAsia="仿宋_GB2312"/>
          <w:sz w:val="32"/>
          <w:szCs w:val="32"/>
        </w:rPr>
      </w:pPr>
      <w:r>
        <w:rPr>
          <w:rFonts w:hint="eastAsia" w:eastAsia="仿宋_GB2312"/>
          <w:b/>
          <w:sz w:val="32"/>
          <w:szCs w:val="32"/>
        </w:rPr>
        <w:t>推进教育信息公开。</w:t>
      </w:r>
      <w:r>
        <w:rPr>
          <w:rFonts w:hint="eastAsia" w:eastAsia="仿宋_GB2312"/>
          <w:sz w:val="32"/>
          <w:szCs w:val="32"/>
        </w:rPr>
        <w:t>积极推进学前教育和义务教育招生入学信息公开，及时通过丰台教育信息网、北京市义务教育入学平台等方式公布入学片区和招生人数，公开《丰台区</w:t>
      </w:r>
      <w:r>
        <w:rPr>
          <w:rFonts w:eastAsia="仿宋_GB2312"/>
          <w:sz w:val="32"/>
          <w:szCs w:val="32"/>
        </w:rPr>
        <w:t>2017</w:t>
      </w:r>
      <w:r>
        <w:rPr>
          <w:rFonts w:hint="eastAsia" w:eastAsia="仿宋_GB2312"/>
          <w:sz w:val="32"/>
          <w:szCs w:val="32"/>
        </w:rPr>
        <w:t>年义务教育阶段入学工作实施意见》《丰台区</w:t>
      </w:r>
      <w:r>
        <w:rPr>
          <w:rFonts w:eastAsia="仿宋_GB2312"/>
          <w:sz w:val="32"/>
          <w:szCs w:val="32"/>
        </w:rPr>
        <w:t>2017</w:t>
      </w:r>
      <w:r>
        <w:rPr>
          <w:rFonts w:hint="eastAsia" w:eastAsia="仿宋_GB2312"/>
          <w:sz w:val="32"/>
          <w:szCs w:val="32"/>
        </w:rPr>
        <w:t>年非本市户籍适龄儿童少年接受义务教育证明证件材料审核实施细则》等文件。为进一步扩大信息公开范围，方便群众及时了解相关信息，积极拓展信息公开渠道，指导学校（幼儿园）通过在村委会、社区、学校（幼儿园）门口和学校网站等处张贴海报，公示幼儿园、义务教育学校的招生信息等形式，加大信息公开力度。在相关政策发布的同时，同步跟进政策解读，在区教委网站、“丰台教育”微信公众号和北京市义务教育入学服务平台等处发布政策解读信息，方便群众加深对政策的了解。</w:t>
      </w:r>
    </w:p>
    <w:p>
      <w:pPr>
        <w:adjustRightInd w:val="0"/>
        <w:snapToGrid w:val="0"/>
        <w:spacing w:line="560" w:lineRule="exact"/>
        <w:ind w:firstLine="643" w:firstLineChars="200"/>
        <w:rPr>
          <w:rFonts w:eastAsia="仿宋_GB2312"/>
          <w:sz w:val="32"/>
          <w:szCs w:val="32"/>
        </w:rPr>
      </w:pPr>
      <w:r>
        <w:rPr>
          <w:rFonts w:hint="eastAsia" w:eastAsia="仿宋_GB2312"/>
          <w:b/>
          <w:sz w:val="32"/>
          <w:szCs w:val="32"/>
        </w:rPr>
        <w:t>推进卫生计生信息公开。</w:t>
      </w:r>
      <w:r>
        <w:rPr>
          <w:rFonts w:hint="eastAsia" w:eastAsia="仿宋_GB2312"/>
          <w:bCs/>
          <w:kern w:val="0"/>
          <w:sz w:val="32"/>
          <w:szCs w:val="32"/>
        </w:rPr>
        <w:t>在医药分开改革期间，建立部门联动、快速响应的工作机制，多项改善服务、提升居民感</w:t>
      </w:r>
      <w:r>
        <w:rPr>
          <w:rFonts w:hint="eastAsia" w:eastAsia="仿宋_GB2312"/>
          <w:sz w:val="32"/>
          <w:szCs w:val="32"/>
        </w:rPr>
        <w:t>受的措施得到主流媒体和自媒体的广泛传播。</w:t>
      </w:r>
      <w:r>
        <w:rPr>
          <w:rFonts w:hint="eastAsia" w:eastAsia="仿宋_GB2312"/>
          <w:bCs/>
          <w:kern w:val="0"/>
          <w:sz w:val="32"/>
          <w:szCs w:val="32"/>
        </w:rPr>
        <w:t>中央电视台、新华社、人民日报、北京电视台等近</w:t>
      </w:r>
      <w:r>
        <w:rPr>
          <w:rFonts w:eastAsia="仿宋_GB2312"/>
          <w:bCs/>
          <w:kern w:val="0"/>
          <w:sz w:val="32"/>
          <w:szCs w:val="32"/>
        </w:rPr>
        <w:t>30</w:t>
      </w:r>
      <w:r>
        <w:rPr>
          <w:rFonts w:hint="eastAsia" w:eastAsia="仿宋_GB2312"/>
          <w:bCs/>
          <w:kern w:val="0"/>
          <w:sz w:val="32"/>
          <w:szCs w:val="32"/>
        </w:rPr>
        <w:t>家媒体对丰台区改革工作报道</w:t>
      </w:r>
      <w:r>
        <w:rPr>
          <w:rFonts w:eastAsia="仿宋_GB2312"/>
          <w:bCs/>
          <w:kern w:val="0"/>
          <w:sz w:val="32"/>
          <w:szCs w:val="32"/>
        </w:rPr>
        <w:t>40</w:t>
      </w:r>
      <w:r>
        <w:rPr>
          <w:rFonts w:hint="eastAsia" w:eastAsia="仿宋_GB2312"/>
          <w:bCs/>
          <w:kern w:val="0"/>
          <w:sz w:val="32"/>
          <w:szCs w:val="32"/>
        </w:rPr>
        <w:t>余篇，</w:t>
      </w:r>
      <w:r>
        <w:rPr>
          <w:rFonts w:hint="eastAsia" w:eastAsia="仿宋_GB2312"/>
          <w:sz w:val="32"/>
          <w:szCs w:val="32"/>
        </w:rPr>
        <w:t>初步实现了“人民群众得实惠，医务人员受鼓舞，党和政府得民心”的效果。</w:t>
      </w:r>
      <w:r>
        <w:rPr>
          <w:rFonts w:eastAsia="仿宋_GB2312"/>
          <w:kern w:val="0"/>
          <w:sz w:val="32"/>
          <w:szCs w:val="32"/>
        </w:rPr>
        <w:t>2017</w:t>
      </w:r>
      <w:r>
        <w:rPr>
          <w:rFonts w:hint="eastAsia" w:eastAsia="仿宋_GB2312"/>
          <w:kern w:val="0"/>
          <w:sz w:val="32"/>
          <w:szCs w:val="32"/>
        </w:rPr>
        <w:t>年对全区</w:t>
      </w:r>
      <w:r>
        <w:rPr>
          <w:rFonts w:eastAsia="仿宋_GB2312"/>
          <w:kern w:val="0"/>
          <w:sz w:val="32"/>
          <w:szCs w:val="32"/>
        </w:rPr>
        <w:t>352</w:t>
      </w:r>
      <w:r>
        <w:rPr>
          <w:rFonts w:hint="eastAsia" w:eastAsia="仿宋_GB2312"/>
          <w:kern w:val="0"/>
          <w:sz w:val="32"/>
          <w:szCs w:val="32"/>
        </w:rPr>
        <w:t>家参改医疗机构进行了“拉网式”督导检查，</w:t>
      </w:r>
      <w:r>
        <w:rPr>
          <w:rFonts w:eastAsia="仿宋_GB2312"/>
          <w:kern w:val="0"/>
          <w:sz w:val="32"/>
          <w:szCs w:val="32"/>
        </w:rPr>
        <w:t>226</w:t>
      </w:r>
      <w:r>
        <w:rPr>
          <w:rFonts w:hint="eastAsia" w:eastAsia="仿宋_GB2312"/>
          <w:kern w:val="0"/>
          <w:sz w:val="32"/>
          <w:szCs w:val="32"/>
        </w:rPr>
        <w:t>家参改医疗机构作出药品价格承诺并进行价格公示</w:t>
      </w:r>
      <w:r>
        <w:rPr>
          <w:rFonts w:hint="eastAsia" w:eastAsia="仿宋_GB2312"/>
          <w:sz w:val="32"/>
          <w:szCs w:val="32"/>
        </w:rPr>
        <w:t>。</w:t>
      </w:r>
    </w:p>
    <w:p>
      <w:pPr>
        <w:adjustRightInd w:val="0"/>
        <w:snapToGrid w:val="0"/>
        <w:spacing w:line="560" w:lineRule="exact"/>
        <w:ind w:firstLine="643" w:firstLineChars="200"/>
        <w:rPr>
          <w:rFonts w:eastAsia="仿宋_GB2312"/>
          <w:sz w:val="32"/>
          <w:szCs w:val="32"/>
          <w:shd w:val="clear" w:color="080000" w:fill="FFFFFF"/>
        </w:rPr>
      </w:pPr>
      <w:r>
        <w:rPr>
          <w:rFonts w:hint="eastAsia" w:eastAsia="仿宋_GB2312"/>
          <w:b/>
          <w:sz w:val="32"/>
          <w:szCs w:val="32"/>
        </w:rPr>
        <w:t>推进食品药品安全领域信息公开。</w:t>
      </w:r>
      <w:r>
        <w:rPr>
          <w:rFonts w:hint="eastAsia" w:eastAsia="仿宋_GB2312"/>
          <w:sz w:val="32"/>
          <w:szCs w:val="32"/>
          <w:shd w:val="clear" w:color="080000" w:fill="FFFFFF"/>
        </w:rPr>
        <w:t>在区食药监局网站首页“数据查询”栏目公示行政处罚信息、许可信息、检查信息及</w:t>
      </w:r>
      <w:r>
        <w:rPr>
          <w:rFonts w:eastAsia="仿宋_GB2312"/>
          <w:sz w:val="32"/>
          <w:szCs w:val="32"/>
          <w:shd w:val="clear" w:color="080000" w:fill="FFFFFF"/>
        </w:rPr>
        <w:t>GSP</w:t>
      </w:r>
      <w:r>
        <w:rPr>
          <w:rFonts w:hint="eastAsia" w:eastAsia="仿宋_GB2312"/>
          <w:sz w:val="32"/>
          <w:szCs w:val="32"/>
          <w:shd w:val="clear" w:color="080000" w:fill="FFFFFF"/>
        </w:rPr>
        <w:t>认证等信息。在微信公众号“丰台食药”上开辟创区专栏，通过与媒体合作等多种形式，提高公众对创建食品安全示范区的知晓度，对食品药品监管工作的信息公开起到了推动作用。</w:t>
      </w:r>
    </w:p>
    <w:p>
      <w:pPr>
        <w:adjustRightInd w:val="0"/>
        <w:snapToGrid w:val="0"/>
        <w:spacing w:line="560" w:lineRule="exact"/>
        <w:ind w:firstLine="643" w:firstLineChars="200"/>
        <w:rPr>
          <w:rFonts w:eastAsia="仿宋_GB2312"/>
          <w:sz w:val="32"/>
          <w:szCs w:val="32"/>
          <w:shd w:val="clear" w:color="080000" w:fill="FFFFFF"/>
        </w:rPr>
      </w:pPr>
      <w:r>
        <w:rPr>
          <w:rFonts w:hint="eastAsia" w:eastAsia="仿宋_GB2312"/>
          <w:b/>
          <w:sz w:val="32"/>
          <w:szCs w:val="32"/>
        </w:rPr>
        <w:t>推进养老服务、社会救助信息公开。</w:t>
      </w:r>
      <w:r>
        <w:rPr>
          <w:rFonts w:hint="eastAsia" w:eastAsia="仿宋_GB2312"/>
          <w:sz w:val="32"/>
          <w:szCs w:val="32"/>
          <w:shd w:val="clear" w:color="080000" w:fill="FFFFFF"/>
        </w:rPr>
        <w:t>围绕群众最关心、社会最关注的养老问题，制定并公示了全区养老机构一览表，内容包括机构名称、地址、法人、联系电话、床位总数等信息，每季度更新完善信息。按照市民政局、老龄办审核批准程序，分批次公示了符合备案标准的社区养老服务驿站名单。每月按时集中公开全区低保、特困人员名单、资金支出情况，及时更新医疗救助、临时救助、高等教育新生入学救助的人次数及资金支出情况。</w:t>
      </w:r>
    </w:p>
    <w:p>
      <w:pPr>
        <w:adjustRightInd w:val="0"/>
        <w:snapToGrid w:val="0"/>
        <w:spacing w:line="560" w:lineRule="exact"/>
        <w:ind w:firstLine="643" w:firstLineChars="200"/>
        <w:rPr>
          <w:rFonts w:eastAsia="仿宋_GB2312"/>
          <w:sz w:val="32"/>
          <w:szCs w:val="32"/>
        </w:rPr>
      </w:pPr>
      <w:r>
        <w:rPr>
          <w:rFonts w:hint="eastAsia" w:eastAsia="仿宋_GB2312"/>
          <w:b/>
          <w:sz w:val="32"/>
          <w:szCs w:val="32"/>
        </w:rPr>
        <w:t>推进就业创业信息公开。</w:t>
      </w:r>
      <w:r>
        <w:rPr>
          <w:rFonts w:hint="eastAsia" w:eastAsia="仿宋_GB2312"/>
          <w:sz w:val="32"/>
          <w:szCs w:val="32"/>
        </w:rPr>
        <w:t>开设“丰台区人力资源和社会保障局”官方微博以及“丰台区企业聚才引智之家”、“丰台职校”、“丰台医保中心”、“丰台社保中心”等多个微信公众号，为公众推送政务、人才服务及社会保障信息，与关注用户积极交流。利用“丰台人力资源公共服务”微信公众号发布专题招聘、工作动态、职业指导、政策宣传等消息</w:t>
      </w:r>
      <w:r>
        <w:rPr>
          <w:rFonts w:eastAsia="仿宋_GB2312"/>
          <w:sz w:val="32"/>
          <w:szCs w:val="32"/>
        </w:rPr>
        <w:t>160</w:t>
      </w:r>
      <w:r>
        <w:rPr>
          <w:rFonts w:hint="eastAsia" w:eastAsia="仿宋_GB2312"/>
          <w:sz w:val="32"/>
          <w:szCs w:val="32"/>
        </w:rPr>
        <w:t>余期，通过微信公众号收集求职简历</w:t>
      </w:r>
      <w:r>
        <w:rPr>
          <w:rFonts w:eastAsia="仿宋_GB2312"/>
          <w:sz w:val="32"/>
          <w:szCs w:val="32"/>
        </w:rPr>
        <w:t>600</w:t>
      </w:r>
      <w:r>
        <w:rPr>
          <w:rFonts w:hint="eastAsia" w:eastAsia="仿宋_GB2312"/>
          <w:sz w:val="32"/>
          <w:szCs w:val="32"/>
        </w:rPr>
        <w:t>余份，提升了公共就业服务能力。“丰台区人才服务中心党委博客”及时传递正能量信息，安排专人值守确保百姓专线、定点医疗机构专线、社保所专线三线畅通。不断优化网站建设，细化公众关心的办事指南、表格下载、结果查询、办理流程、常见问题等栏目服务。开展“送香服务进社区”活动，组织业务骨干定期到社区现场宣传、答疑解惑，将政策送到百姓身边。通过组织创业大赛、路演、沙龙、创业培训等活动，积极向初创企业和团队宣传丰台区创业优惠政策。</w:t>
      </w:r>
    </w:p>
    <w:p>
      <w:pPr>
        <w:adjustRightInd w:val="0"/>
        <w:snapToGrid w:val="0"/>
        <w:spacing w:line="560" w:lineRule="exact"/>
        <w:ind w:firstLine="643" w:firstLineChars="200"/>
        <w:rPr>
          <w:rFonts w:eastAsia="仿宋_GB2312"/>
          <w:sz w:val="32"/>
          <w:szCs w:val="32"/>
        </w:rPr>
      </w:pPr>
      <w:r>
        <w:rPr>
          <w:rFonts w:hint="eastAsia" w:eastAsia="仿宋_GB2312"/>
          <w:b/>
          <w:sz w:val="32"/>
          <w:szCs w:val="32"/>
        </w:rPr>
        <w:t>推进生活性服务业信息公开。</w:t>
      </w:r>
      <w:r>
        <w:rPr>
          <w:rFonts w:hint="eastAsia" w:eastAsia="仿宋_GB2312"/>
          <w:sz w:val="32"/>
          <w:szCs w:val="32"/>
        </w:rPr>
        <w:t>生活性服务业便民商业网点电子地图正式上线运行，实现了全区便民网点可视化，方便了百姓查找附近便民服务。制作了丰台百姓购菜便民地图，实现蔬菜零售网点“一键可查”，同时鼓励百姓对蔬菜零售网点价格、服务、环境进行点评监督。制定丰台区生活性服务业标准宣传贯彻工作方案，面向蔬菜、超市、餐饮、美容美发、家政等</w:t>
      </w:r>
      <w:r>
        <w:rPr>
          <w:rFonts w:eastAsia="仿宋_GB2312"/>
          <w:sz w:val="32"/>
          <w:szCs w:val="32"/>
          <w:shd w:val="clear" w:color="auto" w:fill="FFFFFF"/>
        </w:rPr>
        <w:t>11</w:t>
      </w:r>
      <w:r>
        <w:rPr>
          <w:rFonts w:hint="eastAsia" w:eastAsia="仿宋_GB2312"/>
          <w:sz w:val="32"/>
          <w:szCs w:val="32"/>
          <w:shd w:val="clear" w:color="auto" w:fill="FFFFFF"/>
        </w:rPr>
        <w:t>大行业</w:t>
      </w:r>
      <w:r>
        <w:rPr>
          <w:rFonts w:eastAsia="仿宋_GB2312"/>
          <w:sz w:val="32"/>
          <w:szCs w:val="32"/>
          <w:shd w:val="clear" w:color="auto" w:fill="FFFFFF"/>
        </w:rPr>
        <w:t>653</w:t>
      </w:r>
      <w:r>
        <w:rPr>
          <w:rFonts w:hint="eastAsia" w:eastAsia="仿宋_GB2312"/>
          <w:sz w:val="32"/>
          <w:szCs w:val="32"/>
          <w:shd w:val="clear" w:color="auto" w:fill="FFFFFF"/>
        </w:rPr>
        <w:t>家企业，</w:t>
      </w:r>
      <w:r>
        <w:rPr>
          <w:rFonts w:hint="eastAsia" w:eastAsia="仿宋_GB2312"/>
          <w:sz w:val="32"/>
          <w:szCs w:val="32"/>
        </w:rPr>
        <w:t>组织</w:t>
      </w:r>
      <w:r>
        <w:rPr>
          <w:rFonts w:eastAsia="仿宋_GB2312"/>
          <w:sz w:val="32"/>
          <w:szCs w:val="32"/>
        </w:rPr>
        <w:t>4</w:t>
      </w:r>
      <w:r>
        <w:rPr>
          <w:rFonts w:hint="eastAsia" w:eastAsia="仿宋_GB2312"/>
          <w:sz w:val="32"/>
          <w:szCs w:val="32"/>
        </w:rPr>
        <w:t>次标准宣传贯彻大会，</w:t>
      </w:r>
      <w:r>
        <w:rPr>
          <w:rFonts w:hint="eastAsia" w:eastAsia="仿宋_GB2312"/>
          <w:sz w:val="32"/>
          <w:szCs w:val="32"/>
          <w:shd w:val="clear" w:color="auto" w:fill="FFFFFF"/>
        </w:rPr>
        <w:t>培训信息及时在网站工作动态进行发布。对便利店、餐饮、美容美发、社区综合体等便民商业行业标准进行网上公示，督促企业落实各项标准，提升生活性服务业规范化发展水平。</w:t>
      </w:r>
    </w:p>
    <w:p>
      <w:pPr>
        <w:spacing w:line="560" w:lineRule="exact"/>
        <w:ind w:firstLine="643" w:firstLineChars="200"/>
        <w:rPr>
          <w:rFonts w:eastAsia="仿宋_GB2312"/>
          <w:b/>
          <w:sz w:val="32"/>
          <w:szCs w:val="32"/>
        </w:rPr>
      </w:pPr>
      <w:r>
        <w:rPr>
          <w:rFonts w:hint="eastAsia" w:eastAsia="仿宋_GB2312"/>
          <w:b/>
          <w:sz w:val="32"/>
          <w:szCs w:val="32"/>
        </w:rPr>
        <w:t>推进公共文化服务信息公开。</w:t>
      </w:r>
      <w:r>
        <w:rPr>
          <w:rFonts w:hint="eastAsia" w:eastAsia="仿宋_GB2312"/>
          <w:sz w:val="32"/>
          <w:szCs w:val="32"/>
          <w:lang w:val="zh-CN"/>
        </w:rPr>
        <w:t>通过“文化丰台”微信公众号、“北京文化热线”网站等渠道，公开文化服务信息、群众活动信息、首都公共文化服务示范区创建信息</w:t>
      </w:r>
      <w:r>
        <w:rPr>
          <w:rFonts w:eastAsia="仿宋_GB2312"/>
          <w:sz w:val="32"/>
          <w:szCs w:val="32"/>
          <w:lang w:val="zh-CN"/>
        </w:rPr>
        <w:t>270</w:t>
      </w:r>
      <w:r>
        <w:rPr>
          <w:rFonts w:hint="eastAsia" w:eastAsia="仿宋_GB2312"/>
          <w:sz w:val="32"/>
          <w:szCs w:val="32"/>
          <w:lang w:val="zh-CN"/>
        </w:rPr>
        <w:t>余条。举办“万众一心</w:t>
      </w:r>
      <w:r>
        <w:rPr>
          <w:rFonts w:eastAsia="仿宋_GB2312"/>
          <w:sz w:val="32"/>
          <w:szCs w:val="32"/>
          <w:lang w:val="zh-CN"/>
        </w:rPr>
        <w:t xml:space="preserve"> </w:t>
      </w:r>
      <w:r>
        <w:rPr>
          <w:rFonts w:hint="eastAsia" w:eastAsia="仿宋_GB2312"/>
          <w:sz w:val="32"/>
          <w:szCs w:val="32"/>
          <w:lang w:val="zh-CN"/>
        </w:rPr>
        <w:t>圆梦中华”全民族抗战爆发</w:t>
      </w:r>
      <w:r>
        <w:rPr>
          <w:rFonts w:eastAsia="仿宋_GB2312"/>
          <w:sz w:val="32"/>
          <w:szCs w:val="32"/>
          <w:lang w:val="zh-CN"/>
        </w:rPr>
        <w:t>80</w:t>
      </w:r>
      <w:r>
        <w:rPr>
          <w:rFonts w:hint="eastAsia" w:eastAsia="仿宋_GB2312"/>
          <w:sz w:val="32"/>
          <w:szCs w:val="32"/>
          <w:lang w:val="zh-CN"/>
        </w:rPr>
        <w:t>周年群众纪念活动，累计接待全市单位</w:t>
      </w:r>
      <w:r>
        <w:rPr>
          <w:rFonts w:eastAsia="仿宋_GB2312"/>
          <w:sz w:val="32"/>
          <w:szCs w:val="32"/>
          <w:lang w:val="zh-CN"/>
        </w:rPr>
        <w:t>320</w:t>
      </w:r>
      <w:r>
        <w:rPr>
          <w:rFonts w:hint="eastAsia" w:eastAsia="仿宋_GB2312"/>
          <w:sz w:val="32"/>
          <w:szCs w:val="32"/>
          <w:lang w:val="zh-CN"/>
        </w:rPr>
        <w:t>余个，观众</w:t>
      </w:r>
      <w:r>
        <w:rPr>
          <w:rFonts w:eastAsia="仿宋_GB2312"/>
          <w:sz w:val="32"/>
          <w:szCs w:val="32"/>
          <w:lang w:val="zh-CN"/>
        </w:rPr>
        <w:t>5</w:t>
      </w:r>
      <w:r>
        <w:rPr>
          <w:rFonts w:hint="eastAsia" w:eastAsia="仿宋_GB2312"/>
          <w:sz w:val="32"/>
          <w:szCs w:val="32"/>
          <w:lang w:val="zh-CN"/>
        </w:rPr>
        <w:t>万余人。开展</w:t>
      </w:r>
      <w:r>
        <w:rPr>
          <w:rFonts w:eastAsia="仿宋_GB2312"/>
          <w:sz w:val="32"/>
          <w:szCs w:val="32"/>
          <w:lang w:val="zh-CN"/>
        </w:rPr>
        <w:t>2017</w:t>
      </w:r>
      <w:r>
        <w:rPr>
          <w:rFonts w:hint="eastAsia" w:eastAsia="仿宋_GB2312"/>
          <w:sz w:val="32"/>
          <w:szCs w:val="32"/>
          <w:lang w:val="zh-CN"/>
        </w:rPr>
        <w:t>年“发现丰台之美”主题活动，依托全国道德模范、“北京榜样</w:t>
      </w:r>
      <w:r>
        <w:rPr>
          <w:rFonts w:eastAsia="仿宋_GB2312"/>
          <w:sz w:val="32"/>
          <w:szCs w:val="32"/>
          <w:lang w:val="zh-CN"/>
        </w:rPr>
        <w:t>·</w:t>
      </w:r>
      <w:r>
        <w:rPr>
          <w:rFonts w:hint="eastAsia" w:eastAsia="仿宋_GB2312"/>
          <w:sz w:val="32"/>
          <w:szCs w:val="32"/>
          <w:lang w:val="zh-CN"/>
        </w:rPr>
        <w:t>最美丰台人”、“身边好人”评选，展示丰台之美。在北京园博园举办</w:t>
      </w:r>
      <w:r>
        <w:rPr>
          <w:rFonts w:eastAsia="仿宋_GB2312"/>
          <w:sz w:val="32"/>
          <w:szCs w:val="32"/>
          <w:lang w:val="zh-CN"/>
        </w:rPr>
        <w:t>2017</w:t>
      </w:r>
      <w:r>
        <w:rPr>
          <w:rFonts w:hint="eastAsia" w:eastAsia="仿宋_GB2312"/>
          <w:sz w:val="32"/>
          <w:szCs w:val="32"/>
          <w:lang w:val="zh-CN"/>
        </w:rPr>
        <w:t>中国戏曲文化周活动，通过自媒体直播吸引网民浏览</w:t>
      </w:r>
      <w:r>
        <w:rPr>
          <w:rFonts w:eastAsia="仿宋_GB2312"/>
          <w:sz w:val="32"/>
          <w:szCs w:val="32"/>
          <w:lang w:val="zh-CN"/>
        </w:rPr>
        <w:t>185</w:t>
      </w:r>
      <w:r>
        <w:rPr>
          <w:rFonts w:hint="eastAsia" w:eastAsia="仿宋_GB2312"/>
          <w:sz w:val="32"/>
          <w:szCs w:val="32"/>
          <w:lang w:val="zh-CN"/>
        </w:rPr>
        <w:t>万人次，“中国有戏”</w:t>
      </w:r>
      <w:r>
        <w:rPr>
          <w:rFonts w:eastAsia="仿宋_GB2312"/>
          <w:sz w:val="32"/>
          <w:szCs w:val="32"/>
          <w:lang w:val="zh-CN"/>
        </w:rPr>
        <w:t>H5</w:t>
      </w:r>
      <w:r>
        <w:rPr>
          <w:rFonts w:hint="eastAsia" w:eastAsia="仿宋_GB2312"/>
          <w:sz w:val="32"/>
          <w:szCs w:val="32"/>
          <w:lang w:val="zh-CN"/>
        </w:rPr>
        <w:t>阅读量达到</w:t>
      </w:r>
      <w:r>
        <w:rPr>
          <w:rFonts w:eastAsia="仿宋_GB2312"/>
          <w:sz w:val="32"/>
          <w:szCs w:val="32"/>
          <w:lang w:val="zh-CN"/>
        </w:rPr>
        <w:t>2025</w:t>
      </w:r>
      <w:r>
        <w:rPr>
          <w:rFonts w:hint="eastAsia" w:eastAsia="仿宋_GB2312"/>
          <w:sz w:val="32"/>
          <w:szCs w:val="32"/>
          <w:lang w:val="zh-CN"/>
        </w:rPr>
        <w:t>万次。</w:t>
      </w:r>
    </w:p>
    <w:p>
      <w:pPr>
        <w:adjustRightInd w:val="0"/>
        <w:snapToGrid w:val="0"/>
        <w:spacing w:line="560" w:lineRule="exact"/>
        <w:ind w:firstLine="321" w:firstLineChars="100"/>
        <w:rPr>
          <w:rFonts w:eastAsia="仿宋_GB2312"/>
          <w:b/>
          <w:sz w:val="32"/>
          <w:szCs w:val="32"/>
        </w:rPr>
      </w:pPr>
      <w:r>
        <w:rPr>
          <w:rFonts w:hint="eastAsia" w:eastAsia="楷体_GB2312"/>
          <w:b/>
          <w:sz w:val="32"/>
          <w:szCs w:val="32"/>
        </w:rPr>
        <w:t>（五）以政务公开助力治环境、促提升</w:t>
      </w:r>
    </w:p>
    <w:p>
      <w:pPr>
        <w:adjustRightInd w:val="0"/>
        <w:snapToGrid w:val="0"/>
        <w:spacing w:line="560" w:lineRule="exact"/>
        <w:ind w:firstLine="643" w:firstLineChars="200"/>
        <w:rPr>
          <w:rFonts w:eastAsia="仿宋_GB2312"/>
          <w:sz w:val="32"/>
          <w:szCs w:val="32"/>
        </w:rPr>
      </w:pPr>
      <w:r>
        <w:rPr>
          <w:rFonts w:hint="eastAsia" w:eastAsia="仿宋_GB2312"/>
          <w:b/>
          <w:sz w:val="32"/>
          <w:szCs w:val="32"/>
        </w:rPr>
        <w:t>推进环境保护信息公开。</w:t>
      </w:r>
      <w:r>
        <w:rPr>
          <w:rFonts w:hint="eastAsia" w:eastAsia="仿宋_GB2312"/>
          <w:sz w:val="32"/>
          <w:szCs w:val="32"/>
        </w:rPr>
        <w:t>定期发布丰台区空气质量情况数据，加大清洁降尘、“煤改电”、控车减油、“散乱污”治理等工作效果公开。发起节约型机关、绿色家庭、绿色学校、绿色社区和绿色出行等城市“绿色</w:t>
      </w:r>
      <w:r>
        <w:rPr>
          <w:rFonts w:eastAsia="仿宋_GB2312"/>
          <w:sz w:val="32"/>
          <w:szCs w:val="32"/>
        </w:rPr>
        <w:t>+</w:t>
      </w:r>
      <w:r>
        <w:rPr>
          <w:rFonts w:hint="eastAsia" w:eastAsia="仿宋_GB2312"/>
          <w:sz w:val="32"/>
          <w:szCs w:val="32"/>
        </w:rPr>
        <w:t>”创建行动。完善企业诚信体系，杜绝企业瞒报、虚报、偷排、规避执法等问题的发生，从源头上减少污染排放。在区水务局网站建立“水体治理”和河长制公示专栏，定期公开黑臭水体名单、治理工作进展、农村污水治理设施建设进展、大中型污水处理设施运行情况信息，做好河长制政策解读。定期向社会公开城市饮用水水源地、供水厂出厂水和用户水龙头水质信息。</w:t>
      </w:r>
    </w:p>
    <w:p>
      <w:pPr>
        <w:adjustRightInd w:val="0"/>
        <w:snapToGrid w:val="0"/>
        <w:spacing w:line="560" w:lineRule="exact"/>
        <w:ind w:firstLine="643" w:firstLineChars="200"/>
        <w:rPr>
          <w:rFonts w:eastAsia="仿宋_GB2312"/>
          <w:sz w:val="32"/>
          <w:szCs w:val="32"/>
        </w:rPr>
      </w:pPr>
      <w:r>
        <w:rPr>
          <w:rFonts w:hint="eastAsia" w:eastAsia="仿宋_GB2312"/>
          <w:b/>
          <w:sz w:val="32"/>
          <w:szCs w:val="32"/>
        </w:rPr>
        <w:t>推进城市环境整治提升信息公开。</w:t>
      </w:r>
      <w:r>
        <w:rPr>
          <w:rFonts w:hint="eastAsia" w:eastAsia="仿宋_GB2312"/>
          <w:sz w:val="32"/>
          <w:szCs w:val="32"/>
        </w:rPr>
        <w:t>完成了区域内的</w:t>
      </w:r>
      <w:r>
        <w:rPr>
          <w:rFonts w:eastAsia="仿宋_GB2312"/>
          <w:sz w:val="32"/>
          <w:szCs w:val="32"/>
        </w:rPr>
        <w:t>22</w:t>
      </w:r>
      <w:r>
        <w:rPr>
          <w:rFonts w:hint="eastAsia" w:eastAsia="仿宋_GB2312"/>
          <w:sz w:val="32"/>
          <w:szCs w:val="32"/>
        </w:rPr>
        <w:t>条背街小巷整治任务，方便百姓的居住和出行，营造了干净整洁的市容环境，并将完成情况向社会进行了公开。对垃圾分类、垃圾处理方面的信息进行全方位公开，及时公开环卫设施建设改造重点工程、民生实事、备案许可等各类热点信息。通过全天候卫片、生态用地核查、举报、视频监控、巡查等途径，对发现的违法用地依法立案处理，涉及重大拆除项目第一时间在区国土分局内外网公开查处情况、拆除状态、联合执法成果，接受社会监督。</w:t>
      </w:r>
    </w:p>
    <w:p>
      <w:pPr>
        <w:adjustRightInd w:val="0"/>
        <w:snapToGrid w:val="0"/>
        <w:spacing w:line="560" w:lineRule="exact"/>
        <w:ind w:firstLine="643" w:firstLineChars="200"/>
        <w:rPr>
          <w:rFonts w:eastAsia="仿宋_GB2312"/>
          <w:sz w:val="32"/>
          <w:szCs w:val="32"/>
        </w:rPr>
      </w:pPr>
      <w:r>
        <w:rPr>
          <w:rFonts w:hint="eastAsia" w:eastAsia="仿宋_GB2312"/>
          <w:b/>
          <w:sz w:val="32"/>
          <w:szCs w:val="32"/>
        </w:rPr>
        <w:t>推进缓解交通拥堵信息公开。</w:t>
      </w:r>
      <w:r>
        <w:rPr>
          <w:rFonts w:hint="eastAsia" w:eastAsia="仿宋_GB2312"/>
          <w:sz w:val="32"/>
          <w:szCs w:val="32"/>
        </w:rPr>
        <w:t>完成了天坛医院周边交通综合治理，草桥、莲怡园地区、慢行系统治理以及光彩路、草桥东路等</w:t>
      </w:r>
      <w:r>
        <w:rPr>
          <w:rFonts w:eastAsia="仿宋_GB2312"/>
          <w:sz w:val="32"/>
          <w:szCs w:val="32"/>
        </w:rPr>
        <w:t>5</w:t>
      </w:r>
      <w:r>
        <w:rPr>
          <w:rFonts w:hint="eastAsia" w:eastAsia="仿宋_GB2312"/>
          <w:sz w:val="32"/>
          <w:szCs w:val="32"/>
        </w:rPr>
        <w:t>条道路大修，并通过北京交通广播“疏堵大家谈”、丰台新闻、《丰台报》等多种渠道，宣传区域交通发展成就和交通治理理念，倡导绿色出行，形成缓解交通拥堵人人有责的社会氛围。</w:t>
      </w:r>
    </w:p>
    <w:p>
      <w:pPr>
        <w:adjustRightInd w:val="0"/>
        <w:snapToGrid w:val="0"/>
        <w:spacing w:line="560" w:lineRule="exact"/>
        <w:ind w:firstLine="640" w:firstLineChars="200"/>
        <w:rPr>
          <w:rFonts w:eastAsia="黑体"/>
          <w:kern w:val="0"/>
          <w:sz w:val="32"/>
          <w:szCs w:val="32"/>
        </w:rPr>
      </w:pPr>
      <w:r>
        <w:rPr>
          <w:rFonts w:hint="eastAsia" w:eastAsia="黑体"/>
          <w:bCs/>
          <w:kern w:val="0"/>
          <w:sz w:val="32"/>
          <w:szCs w:val="32"/>
        </w:rPr>
        <w:t>三、信息公开数据</w:t>
      </w:r>
    </w:p>
    <w:p>
      <w:pPr>
        <w:widowControl/>
        <w:spacing w:line="560" w:lineRule="exact"/>
        <w:ind w:firstLine="645"/>
        <w:rPr>
          <w:rFonts w:eastAsia="楷体"/>
          <w:b/>
          <w:kern w:val="0"/>
          <w:sz w:val="32"/>
          <w:szCs w:val="32"/>
        </w:rPr>
      </w:pPr>
      <w:r>
        <w:rPr>
          <w:rFonts w:hint="eastAsia" w:eastAsia="楷体"/>
          <w:b/>
          <w:kern w:val="0"/>
          <w:sz w:val="32"/>
          <w:szCs w:val="32"/>
        </w:rPr>
        <w:t>（一）主动公开情况</w:t>
      </w:r>
    </w:p>
    <w:p>
      <w:pPr>
        <w:widowControl/>
        <w:spacing w:line="560" w:lineRule="exact"/>
        <w:ind w:firstLine="645"/>
        <w:rPr>
          <w:rFonts w:eastAsia="仿宋_GB2312"/>
          <w:kern w:val="0"/>
          <w:sz w:val="32"/>
          <w:szCs w:val="32"/>
        </w:rPr>
      </w:pPr>
      <w:r>
        <w:rPr>
          <w:rFonts w:eastAsia="仿宋_GB2312"/>
          <w:kern w:val="0"/>
          <w:sz w:val="32"/>
          <w:szCs w:val="32"/>
        </w:rPr>
        <w:t>2017</w:t>
      </w:r>
      <w:r>
        <w:rPr>
          <w:rFonts w:hint="eastAsia" w:eastAsia="仿宋_GB2312"/>
          <w:kern w:val="0"/>
          <w:sz w:val="32"/>
          <w:szCs w:val="32"/>
        </w:rPr>
        <w:t>年，主动公开政府信息</w:t>
      </w:r>
      <w:r>
        <w:rPr>
          <w:rFonts w:eastAsia="仿宋_GB2312"/>
          <w:sz w:val="32"/>
          <w:szCs w:val="32"/>
        </w:rPr>
        <w:t>40422</w:t>
      </w:r>
      <w:r>
        <w:rPr>
          <w:rFonts w:hint="eastAsia" w:eastAsia="仿宋_GB2312"/>
          <w:kern w:val="0"/>
          <w:sz w:val="32"/>
          <w:szCs w:val="32"/>
        </w:rPr>
        <w:t>条。其中：主动公开规范性文件数</w:t>
      </w:r>
      <w:r>
        <w:rPr>
          <w:rFonts w:eastAsia="仿宋_GB2312"/>
          <w:kern w:val="0"/>
          <w:sz w:val="32"/>
          <w:szCs w:val="32"/>
        </w:rPr>
        <w:t>506</w:t>
      </w:r>
      <w:r>
        <w:rPr>
          <w:rFonts w:hint="eastAsia" w:eastAsia="仿宋_GB2312"/>
          <w:kern w:val="0"/>
          <w:sz w:val="32"/>
          <w:szCs w:val="32"/>
        </w:rPr>
        <w:t>件，制发规范性文件</w:t>
      </w:r>
      <w:r>
        <w:rPr>
          <w:rFonts w:eastAsia="仿宋_GB2312"/>
          <w:kern w:val="0"/>
          <w:sz w:val="32"/>
          <w:szCs w:val="32"/>
        </w:rPr>
        <w:t>1387</w:t>
      </w:r>
      <w:r>
        <w:rPr>
          <w:rFonts w:hint="eastAsia" w:eastAsia="仿宋_GB2312"/>
          <w:kern w:val="0"/>
          <w:sz w:val="32"/>
          <w:szCs w:val="32"/>
        </w:rPr>
        <w:t>件。</w:t>
      </w:r>
    </w:p>
    <w:p>
      <w:pPr>
        <w:widowControl/>
        <w:spacing w:line="560" w:lineRule="exact"/>
        <w:ind w:firstLine="645"/>
        <w:rPr>
          <w:rFonts w:eastAsia="楷体"/>
          <w:b/>
          <w:kern w:val="0"/>
          <w:sz w:val="32"/>
          <w:szCs w:val="32"/>
        </w:rPr>
      </w:pPr>
      <w:r>
        <w:rPr>
          <w:rFonts w:hint="eastAsia" w:eastAsia="楷体"/>
          <w:b/>
          <w:kern w:val="0"/>
          <w:sz w:val="32"/>
          <w:szCs w:val="32"/>
        </w:rPr>
        <w:t>（二）重点领域公开情况</w:t>
      </w:r>
    </w:p>
    <w:p>
      <w:pPr>
        <w:widowControl/>
        <w:spacing w:line="560" w:lineRule="exact"/>
        <w:ind w:firstLine="645"/>
        <w:rPr>
          <w:rFonts w:eastAsia="仿宋_GB2312"/>
          <w:kern w:val="0"/>
          <w:sz w:val="32"/>
          <w:szCs w:val="32"/>
        </w:rPr>
      </w:pPr>
      <w:r>
        <w:rPr>
          <w:rFonts w:eastAsia="仿宋_GB2312"/>
          <w:kern w:val="0"/>
          <w:sz w:val="32"/>
          <w:szCs w:val="32"/>
        </w:rPr>
        <w:t>2017</w:t>
      </w:r>
      <w:r>
        <w:rPr>
          <w:rFonts w:hint="eastAsia" w:eastAsia="仿宋_GB2312"/>
          <w:kern w:val="0"/>
          <w:sz w:val="32"/>
          <w:szCs w:val="32"/>
        </w:rPr>
        <w:t>年，主动公开重点领域政府信息</w:t>
      </w:r>
      <w:r>
        <w:rPr>
          <w:rFonts w:eastAsia="仿宋_GB2312"/>
          <w:kern w:val="0"/>
          <w:sz w:val="32"/>
          <w:szCs w:val="32"/>
        </w:rPr>
        <w:t>2717</w:t>
      </w:r>
      <w:r>
        <w:rPr>
          <w:rFonts w:hint="eastAsia" w:eastAsia="仿宋_GB2312"/>
          <w:kern w:val="0"/>
          <w:sz w:val="32"/>
          <w:szCs w:val="32"/>
        </w:rPr>
        <w:t>条。其中：主动公开财政预算决算、</w:t>
      </w:r>
      <w:r>
        <w:rPr>
          <w:rFonts w:hint="eastAsia" w:eastAsia="仿宋_GB2312"/>
          <w:kern w:val="0"/>
          <w:sz w:val="32"/>
          <w:szCs w:val="32"/>
          <w:lang w:eastAsia="zh-CN"/>
        </w:rPr>
        <w:t>“三公”经费</w:t>
      </w:r>
      <w:r>
        <w:rPr>
          <w:rFonts w:hint="eastAsia" w:eastAsia="仿宋_GB2312"/>
          <w:kern w:val="0"/>
          <w:sz w:val="32"/>
          <w:szCs w:val="32"/>
        </w:rPr>
        <w:t>和行政经费信息</w:t>
      </w:r>
      <w:r>
        <w:rPr>
          <w:rFonts w:eastAsia="仿宋_GB2312"/>
          <w:kern w:val="0"/>
          <w:sz w:val="32"/>
          <w:szCs w:val="32"/>
        </w:rPr>
        <w:t>170</w:t>
      </w:r>
      <w:r>
        <w:rPr>
          <w:rFonts w:hint="eastAsia" w:eastAsia="仿宋_GB2312"/>
          <w:kern w:val="0"/>
          <w:sz w:val="32"/>
          <w:szCs w:val="32"/>
        </w:rPr>
        <w:t>条；主动公开保障性安居工程建设计划、项目开工和竣工情况，保障性住房的分配和退出等信息</w:t>
      </w:r>
      <w:r>
        <w:rPr>
          <w:rFonts w:eastAsia="仿宋_GB2312"/>
          <w:kern w:val="0"/>
          <w:sz w:val="32"/>
          <w:szCs w:val="32"/>
        </w:rPr>
        <w:t>109</w:t>
      </w:r>
      <w:r>
        <w:rPr>
          <w:rFonts w:hint="eastAsia" w:eastAsia="仿宋_GB2312"/>
          <w:kern w:val="0"/>
          <w:sz w:val="32"/>
          <w:szCs w:val="32"/>
        </w:rPr>
        <w:t>条；主动公开食品安全标准，食品生产经营许可、专项检查整治等信息</w:t>
      </w:r>
      <w:r>
        <w:rPr>
          <w:rFonts w:eastAsia="仿宋_GB2312"/>
          <w:kern w:val="0"/>
          <w:sz w:val="32"/>
          <w:szCs w:val="32"/>
        </w:rPr>
        <w:t>211</w:t>
      </w:r>
      <w:r>
        <w:rPr>
          <w:rFonts w:hint="eastAsia" w:eastAsia="仿宋_GB2312"/>
          <w:kern w:val="0"/>
          <w:sz w:val="32"/>
          <w:szCs w:val="32"/>
        </w:rPr>
        <w:t>条；主动公开环境核查审批、环境状况公报和重特大突发环境事件等信息</w:t>
      </w:r>
      <w:r>
        <w:rPr>
          <w:rFonts w:eastAsia="仿宋_GB2312"/>
          <w:kern w:val="0"/>
          <w:sz w:val="32"/>
          <w:szCs w:val="32"/>
        </w:rPr>
        <w:t>29</w:t>
      </w:r>
      <w:r>
        <w:rPr>
          <w:rFonts w:hint="eastAsia" w:eastAsia="仿宋_GB2312"/>
          <w:kern w:val="0"/>
          <w:sz w:val="32"/>
          <w:szCs w:val="32"/>
        </w:rPr>
        <w:t>条；主动公开生产安全事故的政府举措、处置进展、风险预警、防范措施等信息</w:t>
      </w:r>
      <w:r>
        <w:rPr>
          <w:rFonts w:eastAsia="仿宋_GB2312"/>
          <w:kern w:val="0"/>
          <w:sz w:val="32"/>
          <w:szCs w:val="32"/>
        </w:rPr>
        <w:t>172</w:t>
      </w:r>
      <w:r>
        <w:rPr>
          <w:rFonts w:hint="eastAsia" w:eastAsia="仿宋_GB2312"/>
          <w:kern w:val="0"/>
          <w:sz w:val="32"/>
          <w:szCs w:val="32"/>
        </w:rPr>
        <w:t>条；主动公开农用地转为建设用地批准、征收集体土地批准、征地公告征地补偿安置公示、集体土地征收结案等信息数</w:t>
      </w:r>
      <w:r>
        <w:rPr>
          <w:rFonts w:eastAsia="仿宋_GB2312"/>
          <w:kern w:val="0"/>
          <w:sz w:val="32"/>
          <w:szCs w:val="32"/>
        </w:rPr>
        <w:t>7</w:t>
      </w:r>
      <w:r>
        <w:rPr>
          <w:rFonts w:hint="eastAsia" w:eastAsia="仿宋_GB2312"/>
          <w:kern w:val="0"/>
          <w:sz w:val="32"/>
          <w:szCs w:val="32"/>
        </w:rPr>
        <w:t>条；主动公开政府指导价、政府定价和收费标准调整的项目、价格、依据、执行时间和范围等信息</w:t>
      </w:r>
      <w:r>
        <w:rPr>
          <w:rFonts w:eastAsia="仿宋_GB2312"/>
          <w:kern w:val="0"/>
          <w:sz w:val="32"/>
          <w:szCs w:val="32"/>
        </w:rPr>
        <w:t>2</w:t>
      </w:r>
      <w:r>
        <w:rPr>
          <w:rFonts w:hint="eastAsia" w:eastAsia="仿宋_GB2312"/>
          <w:kern w:val="0"/>
          <w:sz w:val="32"/>
          <w:szCs w:val="32"/>
        </w:rPr>
        <w:t>条；主动公开本市企业信用信息系统中的警示信息和良好信息等信息</w:t>
      </w:r>
      <w:r>
        <w:rPr>
          <w:rFonts w:eastAsia="仿宋_GB2312"/>
          <w:kern w:val="0"/>
          <w:sz w:val="32"/>
          <w:szCs w:val="32"/>
        </w:rPr>
        <w:t>5</w:t>
      </w:r>
      <w:r>
        <w:rPr>
          <w:rFonts w:hint="eastAsia" w:eastAsia="仿宋_GB2312"/>
          <w:kern w:val="0"/>
          <w:sz w:val="32"/>
          <w:szCs w:val="32"/>
        </w:rPr>
        <w:t>条；主动公开政府部门预算执行审计结果等信息</w:t>
      </w:r>
      <w:r>
        <w:rPr>
          <w:rFonts w:eastAsia="仿宋_GB2312"/>
          <w:kern w:val="0"/>
          <w:sz w:val="32"/>
          <w:szCs w:val="32"/>
        </w:rPr>
        <w:t>25</w:t>
      </w:r>
      <w:r>
        <w:rPr>
          <w:rFonts w:hint="eastAsia" w:eastAsia="仿宋_GB2312"/>
          <w:kern w:val="0"/>
          <w:sz w:val="32"/>
          <w:szCs w:val="32"/>
        </w:rPr>
        <w:t>条；主动公开行政机关对与人民群众利益密切相关的公共企事业单位进行监督管理的信息</w:t>
      </w:r>
      <w:r>
        <w:rPr>
          <w:rFonts w:eastAsia="仿宋_GB2312"/>
          <w:kern w:val="0"/>
          <w:sz w:val="32"/>
          <w:szCs w:val="32"/>
        </w:rPr>
        <w:t>136</w:t>
      </w:r>
      <w:r>
        <w:rPr>
          <w:rFonts w:hint="eastAsia" w:eastAsia="仿宋_GB2312"/>
          <w:kern w:val="0"/>
          <w:sz w:val="32"/>
          <w:szCs w:val="32"/>
        </w:rPr>
        <w:t>条；主动公开市人民政府决定主动公开的其他信息</w:t>
      </w:r>
      <w:r>
        <w:rPr>
          <w:rFonts w:eastAsia="仿宋_GB2312"/>
          <w:kern w:val="0"/>
          <w:sz w:val="32"/>
          <w:szCs w:val="32"/>
        </w:rPr>
        <w:t>490</w:t>
      </w:r>
      <w:r>
        <w:rPr>
          <w:rFonts w:hint="eastAsia" w:eastAsia="仿宋_GB2312"/>
          <w:kern w:val="0"/>
          <w:sz w:val="32"/>
          <w:szCs w:val="32"/>
        </w:rPr>
        <w:t>条。</w:t>
      </w:r>
    </w:p>
    <w:p>
      <w:pPr>
        <w:widowControl/>
        <w:spacing w:line="560" w:lineRule="exact"/>
        <w:ind w:firstLine="645"/>
        <w:rPr>
          <w:rFonts w:eastAsia="楷体"/>
          <w:b/>
          <w:kern w:val="0"/>
          <w:sz w:val="32"/>
          <w:szCs w:val="32"/>
        </w:rPr>
      </w:pPr>
      <w:r>
        <w:rPr>
          <w:rFonts w:hint="eastAsia" w:eastAsia="楷体"/>
          <w:b/>
          <w:kern w:val="0"/>
          <w:sz w:val="32"/>
          <w:szCs w:val="32"/>
        </w:rPr>
        <w:t>（三）通过不同渠道和方式公开政府信息的情况</w:t>
      </w:r>
    </w:p>
    <w:p>
      <w:pPr>
        <w:widowControl/>
        <w:spacing w:line="560" w:lineRule="exact"/>
        <w:ind w:firstLine="645"/>
        <w:rPr>
          <w:rFonts w:eastAsia="仿宋_GB2312"/>
          <w:kern w:val="0"/>
          <w:sz w:val="32"/>
          <w:szCs w:val="32"/>
        </w:rPr>
      </w:pPr>
      <w:r>
        <w:rPr>
          <w:rFonts w:hint="eastAsia" w:eastAsia="仿宋_GB2312"/>
          <w:kern w:val="0"/>
          <w:sz w:val="32"/>
          <w:szCs w:val="32"/>
        </w:rPr>
        <w:t>通过政府网站公开政府信息</w:t>
      </w:r>
      <w:r>
        <w:rPr>
          <w:rFonts w:eastAsia="仿宋_GB2312"/>
          <w:kern w:val="0"/>
          <w:sz w:val="32"/>
          <w:szCs w:val="32"/>
        </w:rPr>
        <w:t>34337</w:t>
      </w:r>
      <w:r>
        <w:rPr>
          <w:rFonts w:hint="eastAsia" w:eastAsia="仿宋_GB2312"/>
          <w:kern w:val="0"/>
          <w:sz w:val="32"/>
          <w:szCs w:val="32"/>
        </w:rPr>
        <w:t>条；通过政务微博公开政府信息</w:t>
      </w:r>
      <w:r>
        <w:rPr>
          <w:rFonts w:eastAsia="仿宋_GB2312"/>
          <w:kern w:val="0"/>
          <w:sz w:val="32"/>
          <w:szCs w:val="32"/>
        </w:rPr>
        <w:t>17940</w:t>
      </w:r>
      <w:r>
        <w:rPr>
          <w:rFonts w:hint="eastAsia" w:eastAsia="仿宋_GB2312"/>
          <w:kern w:val="0"/>
          <w:sz w:val="32"/>
          <w:szCs w:val="32"/>
        </w:rPr>
        <w:t>条；通过政务微信公开政府信息</w:t>
      </w:r>
      <w:r>
        <w:rPr>
          <w:rFonts w:eastAsia="仿宋_GB2312"/>
          <w:kern w:val="0"/>
          <w:sz w:val="32"/>
          <w:szCs w:val="32"/>
        </w:rPr>
        <w:t>9879</w:t>
      </w:r>
      <w:r>
        <w:rPr>
          <w:rFonts w:hint="eastAsia" w:eastAsia="仿宋_GB2312"/>
          <w:kern w:val="0"/>
          <w:sz w:val="32"/>
          <w:szCs w:val="32"/>
        </w:rPr>
        <w:t>条；通过其他方式公开政府信息</w:t>
      </w:r>
      <w:r>
        <w:rPr>
          <w:rFonts w:eastAsia="仿宋_GB2312"/>
          <w:kern w:val="0"/>
          <w:sz w:val="32"/>
          <w:szCs w:val="32"/>
        </w:rPr>
        <w:t>3230</w:t>
      </w:r>
      <w:r>
        <w:rPr>
          <w:rFonts w:hint="eastAsia" w:eastAsia="仿宋_GB2312"/>
          <w:kern w:val="0"/>
          <w:sz w:val="32"/>
          <w:szCs w:val="32"/>
        </w:rPr>
        <w:t>条。</w:t>
      </w:r>
    </w:p>
    <w:p>
      <w:pPr>
        <w:widowControl/>
        <w:spacing w:line="560" w:lineRule="exact"/>
        <w:ind w:firstLine="643" w:firstLineChars="200"/>
        <w:rPr>
          <w:rFonts w:eastAsia="楷体"/>
          <w:b/>
          <w:bCs/>
          <w:kern w:val="0"/>
          <w:sz w:val="32"/>
          <w:szCs w:val="32"/>
        </w:rPr>
      </w:pPr>
      <w:r>
        <w:rPr>
          <w:rFonts w:hint="eastAsia" w:eastAsia="楷体"/>
          <w:b/>
          <w:bCs/>
          <w:kern w:val="0"/>
          <w:sz w:val="32"/>
          <w:szCs w:val="32"/>
        </w:rPr>
        <w:t>（四）回应解读情况</w:t>
      </w:r>
    </w:p>
    <w:p>
      <w:pPr>
        <w:widowControl/>
        <w:spacing w:line="560" w:lineRule="exact"/>
        <w:ind w:firstLine="640" w:firstLineChars="200"/>
        <w:rPr>
          <w:rFonts w:eastAsia="仿宋_GB2312"/>
          <w:kern w:val="0"/>
          <w:sz w:val="32"/>
          <w:szCs w:val="32"/>
        </w:rPr>
      </w:pPr>
      <w:r>
        <w:rPr>
          <w:rFonts w:hint="eastAsia" w:eastAsia="仿宋_GB2312"/>
          <w:kern w:val="0"/>
          <w:sz w:val="32"/>
          <w:szCs w:val="32"/>
        </w:rPr>
        <w:t>回应公众关注热点或重大舆情数</w:t>
      </w:r>
      <w:r>
        <w:rPr>
          <w:rFonts w:eastAsia="仿宋_GB2312"/>
          <w:kern w:val="0"/>
          <w:sz w:val="32"/>
          <w:szCs w:val="32"/>
        </w:rPr>
        <w:t>664</w:t>
      </w:r>
      <w:r>
        <w:rPr>
          <w:rFonts w:hint="eastAsia" w:eastAsia="仿宋_GB2312"/>
          <w:kern w:val="0"/>
          <w:sz w:val="32"/>
          <w:szCs w:val="32"/>
        </w:rPr>
        <w:t>次，包括参加或举办新闻发布会总次数</w:t>
      </w:r>
      <w:r>
        <w:rPr>
          <w:rFonts w:eastAsia="仿宋_GB2312"/>
          <w:kern w:val="0"/>
          <w:sz w:val="32"/>
          <w:szCs w:val="32"/>
        </w:rPr>
        <w:t>19</w:t>
      </w:r>
      <w:r>
        <w:rPr>
          <w:rFonts w:hint="eastAsia" w:eastAsia="仿宋_GB2312"/>
          <w:kern w:val="0"/>
          <w:sz w:val="32"/>
          <w:szCs w:val="32"/>
        </w:rPr>
        <w:t>次（区政府及区政府各部门主要负责同志参加新闻发布会</w:t>
      </w:r>
      <w:r>
        <w:rPr>
          <w:rFonts w:eastAsia="仿宋_GB2312"/>
          <w:kern w:val="0"/>
          <w:sz w:val="32"/>
          <w:szCs w:val="32"/>
        </w:rPr>
        <w:t>11</w:t>
      </w:r>
      <w:r>
        <w:rPr>
          <w:rFonts w:hint="eastAsia" w:eastAsia="仿宋_GB2312"/>
          <w:kern w:val="0"/>
          <w:sz w:val="32"/>
          <w:szCs w:val="32"/>
        </w:rPr>
        <w:t>次）。政府网站在线访谈</w:t>
      </w:r>
      <w:r>
        <w:rPr>
          <w:rFonts w:eastAsia="仿宋_GB2312"/>
          <w:kern w:val="0"/>
          <w:sz w:val="32"/>
          <w:szCs w:val="32"/>
        </w:rPr>
        <w:t>19</w:t>
      </w:r>
      <w:r>
        <w:rPr>
          <w:rFonts w:hint="eastAsia" w:eastAsia="仿宋_GB2312"/>
          <w:kern w:val="0"/>
          <w:sz w:val="32"/>
          <w:szCs w:val="32"/>
        </w:rPr>
        <w:t>次（区政府及区政府各部门主要负责同志参加政府网站在线访谈</w:t>
      </w:r>
      <w:r>
        <w:rPr>
          <w:rFonts w:eastAsia="仿宋_GB2312"/>
          <w:kern w:val="0"/>
          <w:sz w:val="32"/>
          <w:szCs w:val="32"/>
        </w:rPr>
        <w:t>6</w:t>
      </w:r>
      <w:r>
        <w:rPr>
          <w:rFonts w:hint="eastAsia" w:eastAsia="仿宋_GB2312"/>
          <w:kern w:val="0"/>
          <w:sz w:val="32"/>
          <w:szCs w:val="32"/>
        </w:rPr>
        <w:t>次）。政策解读稿件发布数</w:t>
      </w:r>
      <w:r>
        <w:rPr>
          <w:rFonts w:eastAsia="仿宋_GB2312"/>
          <w:kern w:val="0"/>
          <w:sz w:val="32"/>
          <w:szCs w:val="32"/>
        </w:rPr>
        <w:t>91</w:t>
      </w:r>
      <w:r>
        <w:rPr>
          <w:rFonts w:hint="eastAsia" w:eastAsia="仿宋_GB2312"/>
          <w:kern w:val="0"/>
          <w:sz w:val="32"/>
          <w:szCs w:val="32"/>
        </w:rPr>
        <w:t>篇；微博微信回应事件</w:t>
      </w:r>
      <w:r>
        <w:rPr>
          <w:rFonts w:eastAsia="仿宋_GB2312"/>
          <w:kern w:val="0"/>
          <w:sz w:val="32"/>
          <w:szCs w:val="32"/>
        </w:rPr>
        <w:t>303</w:t>
      </w:r>
      <w:r>
        <w:rPr>
          <w:rFonts w:hint="eastAsia" w:eastAsia="仿宋_GB2312"/>
          <w:kern w:val="0"/>
          <w:sz w:val="32"/>
          <w:szCs w:val="32"/>
        </w:rPr>
        <w:t>次；其他方式回应事件</w:t>
      </w:r>
      <w:r>
        <w:rPr>
          <w:rFonts w:eastAsia="仿宋_GB2312"/>
          <w:kern w:val="0"/>
          <w:sz w:val="32"/>
          <w:szCs w:val="32"/>
        </w:rPr>
        <w:t>314</w:t>
      </w:r>
      <w:r>
        <w:rPr>
          <w:rFonts w:hint="eastAsia" w:eastAsia="仿宋_GB2312"/>
          <w:kern w:val="0"/>
          <w:sz w:val="32"/>
          <w:szCs w:val="32"/>
        </w:rPr>
        <w:t>次。</w:t>
      </w:r>
    </w:p>
    <w:p>
      <w:pPr>
        <w:widowControl/>
        <w:spacing w:line="560" w:lineRule="exact"/>
        <w:ind w:firstLine="643" w:firstLineChars="200"/>
        <w:rPr>
          <w:rFonts w:eastAsia="楷体"/>
          <w:b/>
          <w:kern w:val="0"/>
          <w:sz w:val="32"/>
          <w:szCs w:val="32"/>
        </w:rPr>
      </w:pPr>
      <w:r>
        <w:rPr>
          <w:rFonts w:hint="eastAsia" w:eastAsia="楷体"/>
          <w:b/>
          <w:bCs/>
          <w:kern w:val="0"/>
          <w:sz w:val="32"/>
          <w:szCs w:val="32"/>
        </w:rPr>
        <w:t>（五）依申请公开情况</w:t>
      </w:r>
    </w:p>
    <w:p>
      <w:pPr>
        <w:widowControl/>
        <w:spacing w:line="56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收到申请数</w:t>
      </w:r>
    </w:p>
    <w:p>
      <w:pPr>
        <w:widowControl/>
        <w:spacing w:line="560" w:lineRule="exact"/>
        <w:ind w:firstLine="640" w:firstLineChars="200"/>
        <w:rPr>
          <w:rFonts w:eastAsia="仿宋_GB2312"/>
          <w:sz w:val="32"/>
          <w:szCs w:val="32"/>
        </w:rPr>
      </w:pPr>
      <w:r>
        <w:rPr>
          <w:rFonts w:hint="eastAsia" w:eastAsia="仿宋_GB2312"/>
          <w:sz w:val="32"/>
          <w:szCs w:val="32"/>
        </w:rPr>
        <w:t>全区申请总数为</w:t>
      </w:r>
      <w:r>
        <w:rPr>
          <w:rFonts w:eastAsia="仿宋_GB2312"/>
          <w:kern w:val="0"/>
          <w:sz w:val="32"/>
          <w:szCs w:val="32"/>
        </w:rPr>
        <w:t>1455</w:t>
      </w:r>
      <w:r>
        <w:rPr>
          <w:rFonts w:hint="eastAsia" w:eastAsia="仿宋_GB2312"/>
          <w:sz w:val="32"/>
          <w:szCs w:val="32"/>
        </w:rPr>
        <w:t>件。其中，当面申请</w:t>
      </w:r>
      <w:r>
        <w:rPr>
          <w:rFonts w:eastAsia="仿宋_GB2312"/>
          <w:kern w:val="0"/>
          <w:sz w:val="32"/>
          <w:szCs w:val="32"/>
        </w:rPr>
        <w:t>746</w:t>
      </w:r>
      <w:r>
        <w:rPr>
          <w:rFonts w:hint="eastAsia" w:eastAsia="仿宋_GB2312"/>
          <w:sz w:val="32"/>
          <w:szCs w:val="32"/>
        </w:rPr>
        <w:t>件，占总数的</w:t>
      </w:r>
      <w:r>
        <w:rPr>
          <w:rFonts w:eastAsia="仿宋_GB2312"/>
          <w:kern w:val="0"/>
          <w:sz w:val="32"/>
          <w:szCs w:val="32"/>
        </w:rPr>
        <w:t>51.3</w:t>
      </w:r>
      <w:r>
        <w:rPr>
          <w:rFonts w:eastAsia="仿宋_GB2312"/>
          <w:sz w:val="32"/>
          <w:szCs w:val="32"/>
        </w:rPr>
        <w:t>%</w:t>
      </w:r>
      <w:r>
        <w:rPr>
          <w:rFonts w:hint="eastAsia" w:eastAsia="仿宋_GB2312"/>
          <w:sz w:val="32"/>
          <w:szCs w:val="32"/>
        </w:rPr>
        <w:t>；通过互联网申请</w:t>
      </w:r>
      <w:r>
        <w:rPr>
          <w:rFonts w:eastAsia="仿宋_GB2312"/>
          <w:kern w:val="0"/>
          <w:sz w:val="32"/>
          <w:szCs w:val="32"/>
        </w:rPr>
        <w:t>207</w:t>
      </w:r>
      <w:r>
        <w:rPr>
          <w:rFonts w:hint="eastAsia" w:eastAsia="仿宋_GB2312"/>
          <w:sz w:val="32"/>
          <w:szCs w:val="32"/>
        </w:rPr>
        <w:t>件，占总数的</w:t>
      </w:r>
      <w:r>
        <w:rPr>
          <w:rFonts w:eastAsia="仿宋_GB2312"/>
          <w:kern w:val="0"/>
          <w:sz w:val="32"/>
          <w:szCs w:val="32"/>
        </w:rPr>
        <w:t>14.2</w:t>
      </w:r>
      <w:r>
        <w:rPr>
          <w:rFonts w:eastAsia="仿宋_GB2312"/>
          <w:sz w:val="32"/>
          <w:szCs w:val="32"/>
        </w:rPr>
        <w:t>%</w:t>
      </w:r>
      <w:r>
        <w:rPr>
          <w:rFonts w:hint="eastAsia" w:eastAsia="仿宋_GB2312"/>
          <w:sz w:val="32"/>
          <w:szCs w:val="32"/>
        </w:rPr>
        <w:t>；以信函形式申请</w:t>
      </w:r>
      <w:r>
        <w:rPr>
          <w:rFonts w:eastAsia="仿宋_GB2312"/>
          <w:kern w:val="0"/>
          <w:sz w:val="32"/>
          <w:szCs w:val="32"/>
        </w:rPr>
        <w:t>502</w:t>
      </w:r>
      <w:r>
        <w:rPr>
          <w:rFonts w:hint="eastAsia" w:eastAsia="仿宋_GB2312"/>
          <w:sz w:val="32"/>
          <w:szCs w:val="32"/>
        </w:rPr>
        <w:t>件，占总数的</w:t>
      </w:r>
      <w:r>
        <w:rPr>
          <w:rFonts w:eastAsia="仿宋_GB2312"/>
          <w:kern w:val="0"/>
          <w:sz w:val="32"/>
          <w:szCs w:val="32"/>
        </w:rPr>
        <w:t>34.5</w:t>
      </w:r>
      <w:r>
        <w:rPr>
          <w:rFonts w:eastAsia="仿宋_GB2312"/>
          <w:sz w:val="32"/>
          <w:szCs w:val="32"/>
        </w:rPr>
        <w:t>%</w:t>
      </w:r>
      <w:r>
        <w:rPr>
          <w:rFonts w:hint="eastAsia" w:eastAsia="仿宋_GB2312"/>
          <w:sz w:val="32"/>
          <w:szCs w:val="32"/>
        </w:rPr>
        <w:t>。</w:t>
      </w:r>
    </w:p>
    <w:p>
      <w:pPr>
        <w:widowControl/>
        <w:spacing w:line="560" w:lineRule="exact"/>
        <w:ind w:firstLine="420" w:firstLineChars="200"/>
        <w:rPr>
          <w:rFonts w:eastAsia="仿宋_GB2312"/>
          <w:sz w:val="32"/>
          <w:szCs w:val="32"/>
        </w:rPr>
      </w:pPr>
      <w:r>
        <w:drawing>
          <wp:anchor distT="0" distB="0" distL="114300" distR="114300" simplePos="0" relativeHeight="251659264" behindDoc="1" locked="0" layoutInCell="1" allowOverlap="1">
            <wp:simplePos x="0" y="0"/>
            <wp:positionH relativeFrom="column">
              <wp:posOffset>428625</wp:posOffset>
            </wp:positionH>
            <wp:positionV relativeFrom="paragraph">
              <wp:posOffset>115570</wp:posOffset>
            </wp:positionV>
            <wp:extent cx="4118610" cy="2206625"/>
            <wp:effectExtent l="0" t="0" r="15875" b="22225"/>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widowControl/>
        <w:spacing w:line="560" w:lineRule="exact"/>
        <w:ind w:firstLine="640" w:firstLineChars="200"/>
        <w:rPr>
          <w:rFonts w:eastAsia="仿宋_GB2312"/>
          <w:sz w:val="32"/>
          <w:szCs w:val="32"/>
        </w:rPr>
      </w:pPr>
    </w:p>
    <w:p>
      <w:pPr>
        <w:widowControl/>
        <w:spacing w:line="560" w:lineRule="exact"/>
        <w:ind w:firstLine="640" w:firstLineChars="200"/>
        <w:rPr>
          <w:rFonts w:eastAsia="仿宋_GB2312"/>
          <w:sz w:val="32"/>
          <w:szCs w:val="32"/>
        </w:rPr>
      </w:pPr>
    </w:p>
    <w:p>
      <w:pPr>
        <w:widowControl/>
        <w:spacing w:line="560" w:lineRule="exact"/>
        <w:ind w:firstLine="640" w:firstLineChars="200"/>
        <w:rPr>
          <w:rFonts w:eastAsia="仿宋_GB2312"/>
          <w:sz w:val="32"/>
          <w:szCs w:val="32"/>
        </w:rPr>
      </w:pPr>
    </w:p>
    <w:p>
      <w:pPr>
        <w:widowControl/>
        <w:spacing w:line="560" w:lineRule="exact"/>
        <w:ind w:firstLine="640" w:firstLineChars="200"/>
        <w:rPr>
          <w:rFonts w:eastAsia="仿宋_GB2312"/>
          <w:sz w:val="32"/>
          <w:szCs w:val="32"/>
        </w:rPr>
      </w:pPr>
    </w:p>
    <w:p>
      <w:pPr>
        <w:widowControl/>
        <w:spacing w:line="560" w:lineRule="exact"/>
        <w:ind w:firstLine="640" w:firstLineChars="200"/>
        <w:rPr>
          <w:rFonts w:eastAsia="仿宋_GB2312"/>
          <w:sz w:val="32"/>
          <w:szCs w:val="32"/>
        </w:rPr>
      </w:pPr>
    </w:p>
    <w:p>
      <w:pPr>
        <w:widowControl/>
        <w:spacing w:line="560" w:lineRule="exact"/>
        <w:rPr>
          <w:rFonts w:eastAsia="仿宋_GB2312"/>
          <w:sz w:val="32"/>
          <w:szCs w:val="32"/>
        </w:rPr>
      </w:pPr>
    </w:p>
    <w:p>
      <w:pPr>
        <w:widowControl/>
        <w:spacing w:line="560" w:lineRule="exact"/>
        <w:ind w:firstLine="645"/>
        <w:rPr>
          <w:rFonts w:eastAsia="仿宋_GB2312"/>
          <w:sz w:val="32"/>
          <w:szCs w:val="32"/>
        </w:rPr>
      </w:pPr>
      <w:r>
        <w:rPr>
          <w:rFonts w:eastAsia="仿宋_GB2312"/>
          <w:sz w:val="32"/>
          <w:szCs w:val="32"/>
        </w:rPr>
        <w:t>2.</w:t>
      </w:r>
      <w:r>
        <w:rPr>
          <w:rFonts w:hint="eastAsia" w:eastAsia="仿宋_GB2312"/>
          <w:sz w:val="32"/>
          <w:szCs w:val="32"/>
        </w:rPr>
        <w:t>申请办结数</w:t>
      </w:r>
    </w:p>
    <w:p>
      <w:pPr>
        <w:widowControl/>
        <w:spacing w:line="560" w:lineRule="exact"/>
        <w:ind w:firstLine="645"/>
        <w:rPr>
          <w:rFonts w:eastAsia="仿宋_GB2312"/>
          <w:sz w:val="32"/>
          <w:szCs w:val="32"/>
        </w:rPr>
      </w:pPr>
      <w:r>
        <w:rPr>
          <w:rFonts w:hint="eastAsia" w:eastAsia="仿宋_GB2312"/>
          <w:sz w:val="32"/>
          <w:szCs w:val="32"/>
        </w:rPr>
        <w:t>共办结</w:t>
      </w:r>
      <w:r>
        <w:rPr>
          <w:rFonts w:eastAsia="仿宋_GB2312"/>
          <w:kern w:val="0"/>
          <w:sz w:val="32"/>
          <w:szCs w:val="32"/>
        </w:rPr>
        <w:t>1135</w:t>
      </w:r>
      <w:r>
        <w:rPr>
          <w:rFonts w:hint="eastAsia" w:eastAsia="仿宋_GB2312"/>
          <w:sz w:val="32"/>
          <w:szCs w:val="32"/>
        </w:rPr>
        <w:t>件，其中：按时办结</w:t>
      </w:r>
      <w:r>
        <w:rPr>
          <w:rFonts w:eastAsia="仿宋_GB2312"/>
          <w:kern w:val="0"/>
          <w:sz w:val="32"/>
          <w:szCs w:val="32"/>
        </w:rPr>
        <w:t>971</w:t>
      </w:r>
      <w:r>
        <w:rPr>
          <w:rFonts w:hint="eastAsia" w:eastAsia="仿宋_GB2312"/>
          <w:sz w:val="32"/>
          <w:szCs w:val="32"/>
        </w:rPr>
        <w:t>件，依法延期办结</w:t>
      </w:r>
      <w:r>
        <w:rPr>
          <w:rFonts w:eastAsia="仿宋_GB2312"/>
          <w:kern w:val="0"/>
          <w:sz w:val="32"/>
          <w:szCs w:val="32"/>
        </w:rPr>
        <w:t>164</w:t>
      </w:r>
      <w:r>
        <w:rPr>
          <w:rFonts w:hint="eastAsia" w:eastAsia="仿宋_GB2312"/>
          <w:sz w:val="32"/>
          <w:szCs w:val="32"/>
        </w:rPr>
        <w:t>件。</w:t>
      </w:r>
    </w:p>
    <w:p>
      <w:pPr>
        <w:widowControl/>
        <w:spacing w:line="560" w:lineRule="exact"/>
        <w:ind w:firstLine="645"/>
        <w:rPr>
          <w:rFonts w:eastAsia="仿宋_GB2312"/>
          <w:sz w:val="32"/>
          <w:szCs w:val="32"/>
        </w:rPr>
      </w:pPr>
      <w:r>
        <w:rPr>
          <w:rFonts w:eastAsia="仿宋_GB2312"/>
          <w:sz w:val="32"/>
          <w:szCs w:val="32"/>
        </w:rPr>
        <w:t>3.</w:t>
      </w:r>
      <w:r>
        <w:rPr>
          <w:rFonts w:hint="eastAsia" w:eastAsia="仿宋_GB2312"/>
          <w:sz w:val="32"/>
          <w:szCs w:val="32"/>
        </w:rPr>
        <w:t>申请答复数</w:t>
      </w:r>
    </w:p>
    <w:p>
      <w:pPr>
        <w:widowControl/>
        <w:spacing w:line="560" w:lineRule="exact"/>
        <w:ind w:firstLine="645"/>
        <w:rPr>
          <w:rFonts w:eastAsia="仿宋_GB2312"/>
          <w:sz w:val="32"/>
          <w:szCs w:val="32"/>
        </w:rPr>
      </w:pPr>
      <w:r>
        <w:rPr>
          <w:rFonts w:hint="eastAsia" w:eastAsia="仿宋_GB2312"/>
          <w:sz w:val="32"/>
          <w:szCs w:val="32"/>
        </w:rPr>
        <w:t>已到答复期的申请（含</w:t>
      </w:r>
      <w:r>
        <w:rPr>
          <w:rFonts w:eastAsia="仿宋_GB2312"/>
          <w:sz w:val="32"/>
          <w:szCs w:val="32"/>
        </w:rPr>
        <w:t>2016</w:t>
      </w:r>
      <w:r>
        <w:rPr>
          <w:rFonts w:hint="eastAsia" w:eastAsia="仿宋_GB2312"/>
          <w:sz w:val="32"/>
          <w:szCs w:val="32"/>
        </w:rPr>
        <w:t>年年度结转申请）全部按期答复，共答复了</w:t>
      </w:r>
      <w:r>
        <w:rPr>
          <w:rFonts w:eastAsia="仿宋_GB2312"/>
          <w:kern w:val="0"/>
          <w:sz w:val="32"/>
          <w:szCs w:val="32"/>
        </w:rPr>
        <w:t>1135</w:t>
      </w:r>
      <w:r>
        <w:rPr>
          <w:rFonts w:hint="eastAsia" w:eastAsia="仿宋_GB2312"/>
          <w:sz w:val="32"/>
          <w:szCs w:val="32"/>
        </w:rPr>
        <w:t>项，其中：</w:t>
      </w:r>
    </w:p>
    <w:p>
      <w:pPr>
        <w:widowControl/>
        <w:spacing w:line="560" w:lineRule="exact"/>
        <w:ind w:firstLine="640" w:firstLineChars="200"/>
        <w:rPr>
          <w:rFonts w:eastAsia="仿宋_GB2312"/>
          <w:sz w:val="32"/>
          <w:szCs w:val="32"/>
        </w:rPr>
      </w:pPr>
      <w:r>
        <w:rPr>
          <w:rFonts w:hint="eastAsia" w:eastAsia="仿宋_GB2312"/>
          <w:sz w:val="32"/>
          <w:szCs w:val="32"/>
        </w:rPr>
        <w:t>属于已主动公开范围数</w:t>
      </w:r>
      <w:r>
        <w:rPr>
          <w:rFonts w:eastAsia="仿宋_GB2312"/>
          <w:kern w:val="0"/>
          <w:sz w:val="32"/>
          <w:szCs w:val="32"/>
        </w:rPr>
        <w:t>69</w:t>
      </w:r>
      <w:r>
        <w:rPr>
          <w:rFonts w:hint="eastAsia" w:eastAsia="仿宋_GB2312"/>
          <w:sz w:val="32"/>
          <w:szCs w:val="32"/>
        </w:rPr>
        <w:t>件，占总数的</w:t>
      </w:r>
      <w:r>
        <w:rPr>
          <w:rFonts w:eastAsia="仿宋_GB2312"/>
          <w:kern w:val="0"/>
          <w:sz w:val="32"/>
          <w:szCs w:val="32"/>
        </w:rPr>
        <w:t>6</w:t>
      </w:r>
      <w:r>
        <w:rPr>
          <w:rFonts w:eastAsia="仿宋_GB2312"/>
          <w:sz w:val="32"/>
          <w:szCs w:val="32"/>
        </w:rPr>
        <w:t>%</w:t>
      </w:r>
      <w:r>
        <w:rPr>
          <w:rFonts w:hint="eastAsia" w:eastAsia="仿宋_GB2312"/>
          <w:sz w:val="32"/>
          <w:szCs w:val="32"/>
        </w:rPr>
        <w:t>。</w:t>
      </w:r>
    </w:p>
    <w:p>
      <w:pPr>
        <w:widowControl/>
        <w:spacing w:line="560" w:lineRule="exact"/>
        <w:ind w:firstLine="640" w:firstLineChars="200"/>
        <w:rPr>
          <w:rFonts w:eastAsia="仿宋_GB2312"/>
          <w:sz w:val="32"/>
          <w:szCs w:val="32"/>
        </w:rPr>
      </w:pPr>
      <w:r>
        <w:rPr>
          <w:rFonts w:hint="eastAsia" w:eastAsia="仿宋_GB2312"/>
          <w:sz w:val="32"/>
          <w:szCs w:val="32"/>
        </w:rPr>
        <w:t>同意公开答复数</w:t>
      </w:r>
      <w:r>
        <w:rPr>
          <w:rFonts w:eastAsia="仿宋_GB2312"/>
          <w:kern w:val="0"/>
          <w:sz w:val="32"/>
          <w:szCs w:val="32"/>
        </w:rPr>
        <w:t>394</w:t>
      </w:r>
      <w:r>
        <w:rPr>
          <w:rFonts w:hint="eastAsia" w:eastAsia="仿宋_GB2312"/>
          <w:sz w:val="32"/>
          <w:szCs w:val="32"/>
        </w:rPr>
        <w:t>件，占总数的</w:t>
      </w:r>
      <w:r>
        <w:rPr>
          <w:rFonts w:eastAsia="仿宋_GB2312"/>
          <w:kern w:val="0"/>
          <w:sz w:val="32"/>
          <w:szCs w:val="32"/>
        </w:rPr>
        <w:t>34.7</w:t>
      </w:r>
      <w:r>
        <w:rPr>
          <w:rFonts w:eastAsia="仿宋_GB2312"/>
          <w:sz w:val="32"/>
          <w:szCs w:val="32"/>
        </w:rPr>
        <w:t>%</w:t>
      </w:r>
      <w:r>
        <w:rPr>
          <w:rFonts w:hint="eastAsia" w:eastAsia="仿宋_GB2312"/>
          <w:sz w:val="32"/>
          <w:szCs w:val="32"/>
        </w:rPr>
        <w:t>；</w:t>
      </w:r>
    </w:p>
    <w:p>
      <w:pPr>
        <w:widowControl/>
        <w:spacing w:line="560" w:lineRule="exact"/>
        <w:ind w:firstLine="640" w:firstLineChars="200"/>
        <w:rPr>
          <w:rFonts w:eastAsia="仿宋_GB2312"/>
          <w:sz w:val="32"/>
          <w:szCs w:val="32"/>
        </w:rPr>
      </w:pPr>
      <w:r>
        <w:rPr>
          <w:rFonts w:hint="eastAsia" w:eastAsia="仿宋_GB2312"/>
          <w:sz w:val="32"/>
          <w:szCs w:val="32"/>
        </w:rPr>
        <w:t>同意部分公开答复数</w:t>
      </w:r>
      <w:r>
        <w:rPr>
          <w:rFonts w:eastAsia="仿宋_GB2312"/>
          <w:kern w:val="0"/>
          <w:sz w:val="32"/>
          <w:szCs w:val="32"/>
        </w:rPr>
        <w:t>16</w:t>
      </w:r>
      <w:r>
        <w:rPr>
          <w:rFonts w:hint="eastAsia" w:eastAsia="仿宋_GB2312"/>
          <w:sz w:val="32"/>
          <w:szCs w:val="32"/>
        </w:rPr>
        <w:t>件，占总数的</w:t>
      </w:r>
      <w:r>
        <w:rPr>
          <w:rFonts w:eastAsia="仿宋_GB2312"/>
          <w:kern w:val="0"/>
          <w:sz w:val="32"/>
          <w:szCs w:val="32"/>
        </w:rPr>
        <w:t>1.4</w:t>
      </w:r>
      <w:r>
        <w:rPr>
          <w:rFonts w:eastAsia="仿宋_GB2312"/>
          <w:sz w:val="32"/>
          <w:szCs w:val="32"/>
        </w:rPr>
        <w:t>%</w:t>
      </w:r>
      <w:r>
        <w:rPr>
          <w:rFonts w:hint="eastAsia" w:eastAsia="仿宋_GB2312"/>
          <w:sz w:val="32"/>
          <w:szCs w:val="32"/>
        </w:rPr>
        <w:t>；</w:t>
      </w:r>
    </w:p>
    <w:p>
      <w:pPr>
        <w:widowControl/>
        <w:spacing w:line="560" w:lineRule="exact"/>
        <w:ind w:firstLine="640" w:firstLineChars="200"/>
        <w:rPr>
          <w:rFonts w:eastAsia="仿宋_GB2312"/>
          <w:sz w:val="32"/>
          <w:szCs w:val="32"/>
        </w:rPr>
      </w:pPr>
      <w:r>
        <w:rPr>
          <w:rFonts w:hint="eastAsia" w:eastAsia="仿宋_GB2312"/>
          <w:sz w:val="32"/>
          <w:szCs w:val="32"/>
        </w:rPr>
        <w:t>不同意公开答复数</w:t>
      </w:r>
      <w:r>
        <w:rPr>
          <w:rFonts w:eastAsia="仿宋_GB2312"/>
          <w:kern w:val="0"/>
          <w:sz w:val="32"/>
          <w:szCs w:val="32"/>
        </w:rPr>
        <w:t>57</w:t>
      </w:r>
      <w:r>
        <w:rPr>
          <w:rFonts w:hint="eastAsia" w:eastAsia="仿宋_GB2312"/>
          <w:sz w:val="32"/>
          <w:szCs w:val="32"/>
        </w:rPr>
        <w:t>件，占总数</w:t>
      </w:r>
      <w:r>
        <w:rPr>
          <w:rFonts w:eastAsia="仿宋_GB2312"/>
          <w:kern w:val="0"/>
          <w:sz w:val="32"/>
          <w:szCs w:val="32"/>
        </w:rPr>
        <w:t>5</w:t>
      </w:r>
      <w:r>
        <w:rPr>
          <w:rFonts w:eastAsia="仿宋_GB2312"/>
          <w:sz w:val="32"/>
          <w:szCs w:val="32"/>
        </w:rPr>
        <w:t>%</w:t>
      </w:r>
      <w:r>
        <w:rPr>
          <w:rFonts w:hint="eastAsia" w:eastAsia="仿宋_GB2312"/>
          <w:sz w:val="32"/>
          <w:szCs w:val="32"/>
        </w:rPr>
        <w:t>；</w:t>
      </w:r>
    </w:p>
    <w:p>
      <w:pPr>
        <w:widowControl/>
        <w:spacing w:line="560" w:lineRule="exact"/>
        <w:ind w:firstLine="640" w:firstLineChars="200"/>
        <w:rPr>
          <w:rFonts w:eastAsia="仿宋_GB2312"/>
          <w:sz w:val="32"/>
          <w:szCs w:val="32"/>
        </w:rPr>
      </w:pPr>
      <w:r>
        <w:rPr>
          <w:rFonts w:hint="eastAsia" w:eastAsia="仿宋_GB2312"/>
          <w:sz w:val="32"/>
          <w:szCs w:val="32"/>
        </w:rPr>
        <w:t>其中：</w:t>
      </w:r>
    </w:p>
    <w:p>
      <w:pPr>
        <w:widowControl/>
        <w:spacing w:line="560" w:lineRule="exact"/>
        <w:ind w:firstLine="1600" w:firstLineChars="500"/>
        <w:rPr>
          <w:rFonts w:eastAsia="仿宋_GB2312"/>
          <w:sz w:val="32"/>
          <w:szCs w:val="32"/>
        </w:rPr>
      </w:pPr>
      <w:r>
        <w:rPr>
          <w:rFonts w:hint="eastAsia" w:eastAsia="仿宋_GB2312"/>
          <w:sz w:val="32"/>
          <w:szCs w:val="32"/>
        </w:rPr>
        <w:t>涉及国家秘密</w:t>
      </w:r>
      <w:r>
        <w:rPr>
          <w:rFonts w:eastAsia="仿宋_GB2312"/>
          <w:sz w:val="32"/>
          <w:szCs w:val="32"/>
        </w:rPr>
        <w:t>4</w:t>
      </w:r>
      <w:r>
        <w:rPr>
          <w:rFonts w:hint="eastAsia" w:eastAsia="仿宋_GB2312"/>
          <w:sz w:val="32"/>
          <w:szCs w:val="32"/>
        </w:rPr>
        <w:t>件；</w:t>
      </w:r>
    </w:p>
    <w:p>
      <w:pPr>
        <w:widowControl/>
        <w:spacing w:line="560" w:lineRule="exact"/>
        <w:ind w:firstLine="1600" w:firstLineChars="500"/>
        <w:rPr>
          <w:rFonts w:eastAsia="仿宋_GB2312"/>
          <w:sz w:val="32"/>
          <w:szCs w:val="32"/>
        </w:rPr>
      </w:pPr>
      <w:r>
        <w:rPr>
          <w:rFonts w:hint="eastAsia" w:eastAsia="仿宋_GB2312"/>
          <w:sz w:val="32"/>
          <w:szCs w:val="32"/>
        </w:rPr>
        <w:t>涉及商业秘密</w:t>
      </w:r>
      <w:r>
        <w:rPr>
          <w:rFonts w:eastAsia="仿宋_GB2312"/>
          <w:kern w:val="0"/>
          <w:sz w:val="32"/>
          <w:szCs w:val="32"/>
        </w:rPr>
        <w:t>1</w:t>
      </w:r>
      <w:r>
        <w:rPr>
          <w:rFonts w:hint="eastAsia" w:eastAsia="仿宋_GB2312"/>
          <w:sz w:val="32"/>
          <w:szCs w:val="32"/>
        </w:rPr>
        <w:t>件；</w:t>
      </w:r>
    </w:p>
    <w:p>
      <w:pPr>
        <w:widowControl/>
        <w:spacing w:line="560" w:lineRule="exact"/>
        <w:ind w:firstLine="480" w:firstLineChars="150"/>
        <w:rPr>
          <w:rFonts w:eastAsia="仿宋_GB2312"/>
          <w:sz w:val="32"/>
          <w:szCs w:val="32"/>
        </w:rPr>
      </w:pPr>
      <w:r>
        <w:rPr>
          <w:rFonts w:eastAsia="仿宋_GB2312"/>
          <w:sz w:val="32"/>
          <w:szCs w:val="32"/>
        </w:rPr>
        <w:t xml:space="preserve">       </w:t>
      </w:r>
      <w:r>
        <w:rPr>
          <w:rFonts w:hint="eastAsia" w:eastAsia="仿宋_GB2312"/>
          <w:sz w:val="32"/>
          <w:szCs w:val="32"/>
        </w:rPr>
        <w:t>不是《条例》所指政府信息</w:t>
      </w:r>
      <w:r>
        <w:rPr>
          <w:rFonts w:eastAsia="仿宋_GB2312"/>
          <w:kern w:val="0"/>
          <w:sz w:val="32"/>
          <w:szCs w:val="32"/>
        </w:rPr>
        <w:t>52</w:t>
      </w:r>
      <w:r>
        <w:rPr>
          <w:rFonts w:hint="eastAsia" w:eastAsia="仿宋_GB2312"/>
          <w:sz w:val="32"/>
          <w:szCs w:val="32"/>
        </w:rPr>
        <w:t>件；</w:t>
      </w:r>
    </w:p>
    <w:p>
      <w:pPr>
        <w:widowControl/>
        <w:spacing w:line="560" w:lineRule="exact"/>
        <w:ind w:firstLine="800" w:firstLineChars="250"/>
        <w:rPr>
          <w:rFonts w:eastAsia="仿宋_GB2312"/>
          <w:sz w:val="32"/>
          <w:szCs w:val="32"/>
        </w:rPr>
      </w:pPr>
      <w:r>
        <w:rPr>
          <w:rFonts w:hint="eastAsia" w:eastAsia="仿宋_GB2312"/>
          <w:sz w:val="32"/>
          <w:szCs w:val="32"/>
        </w:rPr>
        <w:t>不属于本行政机关公开数</w:t>
      </w:r>
      <w:r>
        <w:rPr>
          <w:rFonts w:eastAsia="仿宋_GB2312"/>
          <w:kern w:val="0"/>
          <w:sz w:val="32"/>
          <w:szCs w:val="32"/>
        </w:rPr>
        <w:t>120</w:t>
      </w:r>
      <w:r>
        <w:rPr>
          <w:rFonts w:hint="eastAsia" w:eastAsia="仿宋_GB2312"/>
          <w:sz w:val="32"/>
          <w:szCs w:val="32"/>
        </w:rPr>
        <w:t>件，占总数的</w:t>
      </w:r>
      <w:r>
        <w:rPr>
          <w:rFonts w:eastAsia="仿宋_GB2312"/>
          <w:kern w:val="0"/>
          <w:sz w:val="32"/>
          <w:szCs w:val="32"/>
        </w:rPr>
        <w:t>10.6</w:t>
      </w:r>
      <w:r>
        <w:rPr>
          <w:rFonts w:eastAsia="仿宋_GB2312"/>
          <w:sz w:val="32"/>
          <w:szCs w:val="32"/>
        </w:rPr>
        <w:t>%</w:t>
      </w:r>
      <w:r>
        <w:rPr>
          <w:rFonts w:hint="eastAsia" w:eastAsia="仿宋_GB2312"/>
          <w:sz w:val="32"/>
          <w:szCs w:val="32"/>
        </w:rPr>
        <w:t>；</w:t>
      </w:r>
    </w:p>
    <w:p>
      <w:pPr>
        <w:widowControl/>
        <w:spacing w:line="560" w:lineRule="exact"/>
        <w:ind w:firstLine="640" w:firstLineChars="200"/>
        <w:rPr>
          <w:rFonts w:eastAsia="仿宋_GB2312"/>
          <w:sz w:val="32"/>
          <w:szCs w:val="32"/>
        </w:rPr>
      </w:pPr>
      <w:r>
        <w:rPr>
          <w:rFonts w:eastAsia="仿宋_GB2312"/>
          <w:sz w:val="32"/>
          <w:szCs w:val="32"/>
        </w:rPr>
        <w:t xml:space="preserve"> </w:t>
      </w:r>
      <w:r>
        <w:rPr>
          <w:rFonts w:hint="eastAsia" w:eastAsia="仿宋_GB2312"/>
          <w:sz w:val="32"/>
          <w:szCs w:val="32"/>
        </w:rPr>
        <w:t>申请信息不存在数</w:t>
      </w:r>
      <w:r>
        <w:rPr>
          <w:rFonts w:eastAsia="仿宋_GB2312"/>
          <w:kern w:val="0"/>
          <w:sz w:val="32"/>
          <w:szCs w:val="32"/>
        </w:rPr>
        <w:t>454</w:t>
      </w:r>
      <w:r>
        <w:rPr>
          <w:rFonts w:hint="eastAsia" w:eastAsia="仿宋_GB2312"/>
          <w:sz w:val="32"/>
          <w:szCs w:val="32"/>
        </w:rPr>
        <w:t>件，占总数的</w:t>
      </w:r>
      <w:r>
        <w:rPr>
          <w:rFonts w:eastAsia="仿宋_GB2312"/>
          <w:kern w:val="0"/>
          <w:sz w:val="32"/>
          <w:szCs w:val="32"/>
        </w:rPr>
        <w:t>40</w:t>
      </w:r>
      <w:r>
        <w:rPr>
          <w:rFonts w:eastAsia="仿宋_GB2312"/>
          <w:sz w:val="32"/>
          <w:szCs w:val="32"/>
        </w:rPr>
        <w:t>%</w:t>
      </w:r>
      <w:r>
        <w:rPr>
          <w:rFonts w:hint="eastAsia" w:eastAsia="仿宋_GB2312"/>
          <w:sz w:val="32"/>
          <w:szCs w:val="32"/>
        </w:rPr>
        <w:t>；</w:t>
      </w:r>
    </w:p>
    <w:p>
      <w:pPr>
        <w:widowControl/>
        <w:spacing w:line="560" w:lineRule="exact"/>
        <w:ind w:firstLine="800" w:firstLineChars="250"/>
        <w:rPr>
          <w:rFonts w:eastAsia="仿宋_GB2312"/>
          <w:sz w:val="32"/>
          <w:szCs w:val="32"/>
        </w:rPr>
      </w:pPr>
      <w:r>
        <w:rPr>
          <w:rFonts w:hint="eastAsia" w:eastAsia="仿宋_GB2312"/>
          <w:sz w:val="32"/>
          <w:szCs w:val="32"/>
        </w:rPr>
        <w:t>告知作出更改补充数</w:t>
      </w:r>
      <w:r>
        <w:rPr>
          <w:rFonts w:eastAsia="仿宋_GB2312"/>
          <w:kern w:val="0"/>
          <w:sz w:val="32"/>
          <w:szCs w:val="32"/>
        </w:rPr>
        <w:t>24</w:t>
      </w:r>
      <w:r>
        <w:rPr>
          <w:rFonts w:hint="eastAsia" w:eastAsia="仿宋_GB2312"/>
          <w:sz w:val="32"/>
          <w:szCs w:val="32"/>
        </w:rPr>
        <w:t>件，占总数的</w:t>
      </w:r>
      <w:r>
        <w:rPr>
          <w:rFonts w:eastAsia="仿宋_GB2312"/>
          <w:kern w:val="0"/>
          <w:sz w:val="32"/>
          <w:szCs w:val="32"/>
        </w:rPr>
        <w:t>2.1</w:t>
      </w:r>
      <w:r>
        <w:rPr>
          <w:rFonts w:eastAsia="仿宋_GB2312"/>
          <w:sz w:val="32"/>
          <w:szCs w:val="32"/>
        </w:rPr>
        <w:t>%</w:t>
      </w:r>
      <w:r>
        <w:rPr>
          <w:rFonts w:hint="eastAsia" w:eastAsia="仿宋_GB2312"/>
          <w:sz w:val="32"/>
          <w:szCs w:val="32"/>
        </w:rPr>
        <w:t>；</w:t>
      </w:r>
    </w:p>
    <w:p>
      <w:pPr>
        <w:widowControl/>
        <w:spacing w:line="560" w:lineRule="exact"/>
        <w:ind w:firstLine="800" w:firstLineChars="250"/>
        <w:rPr>
          <w:rFonts w:eastAsia="仿宋_GB2312"/>
          <w:sz w:val="32"/>
          <w:szCs w:val="32"/>
        </w:rPr>
      </w:pPr>
      <w:r>
        <w:rPr>
          <w:rFonts w:hint="eastAsia" w:eastAsia="仿宋_GB2312"/>
          <w:sz w:val="32"/>
          <w:szCs w:val="32"/>
        </w:rPr>
        <w:t>告知通过其他途径办理数</w:t>
      </w:r>
      <w:r>
        <w:rPr>
          <w:rFonts w:eastAsia="仿宋_GB2312"/>
          <w:kern w:val="0"/>
          <w:sz w:val="32"/>
          <w:szCs w:val="32"/>
        </w:rPr>
        <w:t xml:space="preserve"> 1</w:t>
      </w:r>
      <w:r>
        <w:rPr>
          <w:rFonts w:hint="eastAsia" w:eastAsia="仿宋_GB2312"/>
          <w:sz w:val="32"/>
          <w:szCs w:val="32"/>
        </w:rPr>
        <w:t>件，占总数的</w:t>
      </w:r>
      <w:r>
        <w:rPr>
          <w:rFonts w:eastAsia="仿宋_GB2312"/>
          <w:kern w:val="0"/>
          <w:sz w:val="32"/>
          <w:szCs w:val="32"/>
        </w:rPr>
        <w:t>0.09</w:t>
      </w:r>
      <w:r>
        <w:rPr>
          <w:rFonts w:eastAsia="仿宋_GB2312"/>
          <w:sz w:val="32"/>
          <w:szCs w:val="32"/>
        </w:rPr>
        <w:t>%</w:t>
      </w:r>
      <w:r>
        <w:rPr>
          <w:rFonts w:hint="eastAsia" w:eastAsia="仿宋_GB2312"/>
          <w:sz w:val="32"/>
          <w:szCs w:val="32"/>
        </w:rPr>
        <w:t>。</w:t>
      </w:r>
    </w:p>
    <w:p>
      <w:pPr>
        <w:widowControl/>
        <w:spacing w:line="560" w:lineRule="exact"/>
        <w:ind w:firstLine="525" w:firstLineChars="250"/>
        <w:rPr>
          <w:rFonts w:eastAsia="仿宋_GB2312"/>
          <w:sz w:val="32"/>
          <w:szCs w:val="32"/>
        </w:rPr>
      </w:pPr>
      <w:r>
        <w:drawing>
          <wp:anchor distT="0" distB="0" distL="114300" distR="114300" simplePos="0" relativeHeight="251660288" behindDoc="1" locked="0" layoutInCell="1" allowOverlap="1">
            <wp:simplePos x="0" y="0"/>
            <wp:positionH relativeFrom="column">
              <wp:posOffset>744855</wp:posOffset>
            </wp:positionH>
            <wp:positionV relativeFrom="paragraph">
              <wp:posOffset>144145</wp:posOffset>
            </wp:positionV>
            <wp:extent cx="3861435" cy="2463165"/>
            <wp:effectExtent l="0" t="0" r="24765" b="13335"/>
            <wp:wrapNone/>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widowControl/>
        <w:spacing w:line="560" w:lineRule="exact"/>
        <w:ind w:firstLine="800" w:firstLineChars="250"/>
        <w:rPr>
          <w:rFonts w:eastAsia="仿宋_GB2312"/>
          <w:sz w:val="32"/>
          <w:szCs w:val="32"/>
        </w:rPr>
      </w:pPr>
    </w:p>
    <w:p>
      <w:pPr>
        <w:widowControl/>
        <w:spacing w:line="560" w:lineRule="exact"/>
        <w:ind w:firstLine="800" w:firstLineChars="250"/>
        <w:rPr>
          <w:rFonts w:eastAsia="仿宋_GB2312"/>
          <w:sz w:val="32"/>
          <w:szCs w:val="32"/>
        </w:rPr>
      </w:pPr>
    </w:p>
    <w:p>
      <w:pPr>
        <w:widowControl/>
        <w:spacing w:line="560" w:lineRule="exact"/>
        <w:ind w:firstLine="800" w:firstLineChars="250"/>
        <w:rPr>
          <w:rFonts w:eastAsia="仿宋_GB2312"/>
          <w:sz w:val="32"/>
          <w:szCs w:val="32"/>
        </w:rPr>
      </w:pPr>
    </w:p>
    <w:p>
      <w:pPr>
        <w:widowControl/>
        <w:spacing w:line="560" w:lineRule="exact"/>
        <w:ind w:firstLine="800" w:firstLineChars="250"/>
        <w:rPr>
          <w:rFonts w:eastAsia="仿宋_GB2312"/>
          <w:sz w:val="32"/>
          <w:szCs w:val="32"/>
        </w:rPr>
      </w:pPr>
    </w:p>
    <w:p>
      <w:pPr>
        <w:widowControl/>
        <w:spacing w:line="560" w:lineRule="exact"/>
        <w:ind w:firstLine="800" w:firstLineChars="250"/>
        <w:rPr>
          <w:rFonts w:eastAsia="仿宋_GB2312"/>
          <w:sz w:val="32"/>
          <w:szCs w:val="32"/>
        </w:rPr>
      </w:pPr>
    </w:p>
    <w:p>
      <w:pPr>
        <w:widowControl/>
        <w:spacing w:line="560" w:lineRule="exact"/>
        <w:ind w:firstLine="800" w:firstLineChars="250"/>
        <w:rPr>
          <w:rFonts w:eastAsia="仿宋_GB2312"/>
          <w:sz w:val="32"/>
          <w:szCs w:val="32"/>
        </w:rPr>
      </w:pPr>
    </w:p>
    <w:p>
      <w:pPr>
        <w:widowControl/>
        <w:spacing w:line="560" w:lineRule="exact"/>
        <w:rPr>
          <w:rFonts w:eastAsia="仿宋_GB2312"/>
          <w:sz w:val="32"/>
          <w:szCs w:val="32"/>
        </w:rPr>
      </w:pPr>
    </w:p>
    <w:p>
      <w:pPr>
        <w:widowControl/>
        <w:spacing w:line="560" w:lineRule="exact"/>
        <w:ind w:firstLine="645"/>
        <w:rPr>
          <w:rFonts w:eastAsia="仿宋_GB2312"/>
          <w:sz w:val="32"/>
          <w:szCs w:val="32"/>
        </w:rPr>
      </w:pPr>
      <w:r>
        <w:rPr>
          <w:rFonts w:eastAsia="仿宋_GB2312"/>
          <w:sz w:val="32"/>
          <w:szCs w:val="32"/>
        </w:rPr>
        <w:t>4.</w:t>
      </w:r>
      <w:r>
        <w:rPr>
          <w:rFonts w:hint="eastAsia" w:eastAsia="仿宋_GB2312"/>
          <w:sz w:val="32"/>
          <w:szCs w:val="32"/>
        </w:rPr>
        <w:t>依申请公开收取的费用</w:t>
      </w:r>
    </w:p>
    <w:p>
      <w:pPr>
        <w:widowControl/>
        <w:spacing w:line="540" w:lineRule="exact"/>
        <w:ind w:firstLine="645"/>
        <w:rPr>
          <w:rFonts w:eastAsia="仿宋_GB2312"/>
          <w:kern w:val="0"/>
          <w:sz w:val="32"/>
          <w:szCs w:val="32"/>
        </w:rPr>
      </w:pPr>
      <w:r>
        <w:rPr>
          <w:rFonts w:hint="eastAsia" w:eastAsia="仿宋_GB2312"/>
          <w:sz w:val="32"/>
          <w:szCs w:val="32"/>
        </w:rPr>
        <w:t>按照市财政局、市发展改革委《关于清理规范一批行政事业性收费有关政策的通知》（京财综</w:t>
      </w:r>
      <w:r>
        <w:rPr>
          <w:rFonts w:hint="eastAsia" w:eastAsia="仿宋"/>
          <w:sz w:val="32"/>
          <w:szCs w:val="32"/>
        </w:rPr>
        <w:t>﹝</w:t>
      </w:r>
      <w:r>
        <w:rPr>
          <w:rFonts w:eastAsia="仿宋"/>
          <w:sz w:val="32"/>
          <w:szCs w:val="32"/>
        </w:rPr>
        <w:t>2017</w:t>
      </w:r>
      <w:r>
        <w:rPr>
          <w:rFonts w:hint="eastAsia" w:eastAsia="仿宋"/>
          <w:sz w:val="32"/>
          <w:szCs w:val="32"/>
        </w:rPr>
        <w:t>﹞</w:t>
      </w:r>
      <w:r>
        <w:rPr>
          <w:rFonts w:eastAsia="仿宋"/>
          <w:sz w:val="32"/>
          <w:szCs w:val="32"/>
        </w:rPr>
        <w:t>569</w:t>
      </w:r>
      <w:r>
        <w:rPr>
          <w:rFonts w:hint="eastAsia" w:eastAsia="仿宋"/>
          <w:sz w:val="32"/>
          <w:szCs w:val="32"/>
        </w:rPr>
        <w:t>号</w:t>
      </w:r>
      <w:r>
        <w:rPr>
          <w:rFonts w:hint="eastAsia" w:eastAsia="仿宋_GB2312"/>
          <w:sz w:val="32"/>
          <w:szCs w:val="32"/>
        </w:rPr>
        <w:t>）要求，自</w:t>
      </w:r>
      <w:r>
        <w:rPr>
          <w:rFonts w:eastAsia="仿宋_GB2312"/>
          <w:sz w:val="32"/>
          <w:szCs w:val="32"/>
        </w:rPr>
        <w:t>2017</w:t>
      </w:r>
      <w:r>
        <w:rPr>
          <w:rFonts w:hint="eastAsia" w:eastAsia="仿宋_GB2312"/>
          <w:sz w:val="32"/>
          <w:szCs w:val="32"/>
        </w:rPr>
        <w:t>年</w:t>
      </w:r>
      <w:r>
        <w:rPr>
          <w:rFonts w:eastAsia="仿宋_GB2312"/>
          <w:sz w:val="32"/>
          <w:szCs w:val="32"/>
        </w:rPr>
        <w:t>4</w:t>
      </w:r>
      <w:r>
        <w:rPr>
          <w:rFonts w:hint="eastAsia" w:eastAsia="仿宋_GB2312"/>
          <w:sz w:val="32"/>
          <w:szCs w:val="32"/>
        </w:rPr>
        <w:t>月</w:t>
      </w:r>
      <w:r>
        <w:rPr>
          <w:rFonts w:eastAsia="仿宋_GB2312"/>
          <w:sz w:val="32"/>
          <w:szCs w:val="32"/>
        </w:rPr>
        <w:t>1</w:t>
      </w:r>
      <w:r>
        <w:rPr>
          <w:rFonts w:hint="eastAsia" w:eastAsia="仿宋_GB2312"/>
          <w:sz w:val="32"/>
          <w:szCs w:val="32"/>
        </w:rPr>
        <w:t>日起，北京市已停止收取依申请公开政府信息费用。全区全年</w:t>
      </w:r>
      <w:r>
        <w:rPr>
          <w:rFonts w:hint="eastAsia" w:eastAsia="仿宋_GB2312"/>
          <w:kern w:val="0"/>
          <w:sz w:val="32"/>
          <w:szCs w:val="32"/>
        </w:rPr>
        <w:t>依申请公开收取的费用为</w:t>
      </w:r>
      <w:r>
        <w:rPr>
          <w:rFonts w:eastAsia="仿宋_GB2312"/>
          <w:kern w:val="0"/>
          <w:sz w:val="32"/>
          <w:szCs w:val="32"/>
        </w:rPr>
        <w:t>0</w:t>
      </w:r>
      <w:r>
        <w:rPr>
          <w:rFonts w:hint="eastAsia" w:eastAsia="仿宋_GB2312"/>
          <w:kern w:val="0"/>
          <w:sz w:val="32"/>
          <w:szCs w:val="32"/>
        </w:rPr>
        <w:t>元。</w:t>
      </w:r>
    </w:p>
    <w:p>
      <w:pPr>
        <w:widowControl/>
        <w:spacing w:line="540" w:lineRule="exact"/>
        <w:ind w:firstLine="643" w:firstLineChars="200"/>
        <w:rPr>
          <w:rFonts w:eastAsia="楷体"/>
          <w:b/>
          <w:kern w:val="0"/>
          <w:sz w:val="32"/>
          <w:szCs w:val="32"/>
        </w:rPr>
      </w:pPr>
      <w:r>
        <w:rPr>
          <w:rFonts w:hint="eastAsia" w:eastAsia="楷体"/>
          <w:b/>
          <w:bCs/>
          <w:kern w:val="0"/>
          <w:sz w:val="32"/>
          <w:szCs w:val="32"/>
        </w:rPr>
        <w:t>（六）复议、诉讼和举报情况</w:t>
      </w:r>
    </w:p>
    <w:p>
      <w:pPr>
        <w:widowControl/>
        <w:spacing w:line="540" w:lineRule="exact"/>
        <w:ind w:firstLine="640" w:firstLineChars="200"/>
        <w:rPr>
          <w:rFonts w:eastAsia="仿宋_GB2312"/>
          <w:kern w:val="0"/>
          <w:sz w:val="32"/>
          <w:szCs w:val="32"/>
        </w:rPr>
      </w:pPr>
      <w:r>
        <w:rPr>
          <w:rFonts w:eastAsia="仿宋_GB2312"/>
          <w:kern w:val="0"/>
          <w:sz w:val="32"/>
          <w:szCs w:val="32"/>
        </w:rPr>
        <w:t>1.</w:t>
      </w:r>
      <w:r>
        <w:rPr>
          <w:rFonts w:hint="eastAsia" w:eastAsia="仿宋_GB2312"/>
          <w:kern w:val="0"/>
          <w:sz w:val="32"/>
          <w:szCs w:val="32"/>
        </w:rPr>
        <w:t>行政复议。</w:t>
      </w:r>
    </w:p>
    <w:p>
      <w:pPr>
        <w:widowControl/>
        <w:spacing w:line="540" w:lineRule="exact"/>
        <w:rPr>
          <w:rFonts w:eastAsia="仿宋_GB2312"/>
          <w:kern w:val="0"/>
          <w:sz w:val="32"/>
          <w:szCs w:val="32"/>
        </w:rPr>
      </w:pPr>
      <w:r>
        <w:rPr>
          <w:rFonts w:hint="eastAsia" w:eastAsia="仿宋_GB2312"/>
          <w:kern w:val="0"/>
          <w:sz w:val="32"/>
          <w:szCs w:val="32"/>
        </w:rPr>
        <w:t>　　全区各行政机关受理有关政府信息公开行政复议申请</w:t>
      </w:r>
      <w:r>
        <w:rPr>
          <w:rFonts w:eastAsia="仿宋_GB2312"/>
          <w:kern w:val="0"/>
          <w:sz w:val="32"/>
          <w:szCs w:val="32"/>
        </w:rPr>
        <w:t>63</w:t>
      </w:r>
      <w:r>
        <w:rPr>
          <w:rFonts w:hint="eastAsia" w:eastAsia="仿宋_GB2312"/>
          <w:kern w:val="0"/>
          <w:sz w:val="32"/>
          <w:szCs w:val="32"/>
        </w:rPr>
        <w:t>件。其中：维持行政机关具体行为的</w:t>
      </w:r>
      <w:r>
        <w:rPr>
          <w:rFonts w:eastAsia="仿宋_GB2312"/>
          <w:kern w:val="0"/>
          <w:sz w:val="32"/>
          <w:szCs w:val="32"/>
        </w:rPr>
        <w:t>44</w:t>
      </w:r>
      <w:r>
        <w:rPr>
          <w:rFonts w:hint="eastAsia" w:eastAsia="仿宋_GB2312"/>
          <w:kern w:val="0"/>
          <w:sz w:val="32"/>
          <w:szCs w:val="32"/>
        </w:rPr>
        <w:t>件，被依法纠错的</w:t>
      </w:r>
      <w:r>
        <w:rPr>
          <w:rFonts w:eastAsia="仿宋_GB2312"/>
          <w:kern w:val="0"/>
          <w:sz w:val="32"/>
          <w:szCs w:val="32"/>
        </w:rPr>
        <w:t>8</w:t>
      </w:r>
      <w:r>
        <w:rPr>
          <w:rFonts w:hint="eastAsia" w:eastAsia="仿宋_GB2312"/>
          <w:kern w:val="0"/>
          <w:sz w:val="32"/>
          <w:szCs w:val="32"/>
        </w:rPr>
        <w:t>件，其他情形的</w:t>
      </w:r>
      <w:r>
        <w:rPr>
          <w:rFonts w:eastAsia="仿宋_GB2312"/>
          <w:kern w:val="0"/>
          <w:sz w:val="32"/>
          <w:szCs w:val="32"/>
        </w:rPr>
        <w:t>11</w:t>
      </w:r>
      <w:r>
        <w:rPr>
          <w:rFonts w:hint="eastAsia" w:eastAsia="仿宋_GB2312"/>
          <w:kern w:val="0"/>
          <w:sz w:val="32"/>
          <w:szCs w:val="32"/>
        </w:rPr>
        <w:t>件。</w:t>
      </w:r>
    </w:p>
    <w:p>
      <w:pPr>
        <w:widowControl/>
        <w:spacing w:line="540" w:lineRule="exact"/>
        <w:rPr>
          <w:rFonts w:eastAsia="仿宋_GB2312"/>
          <w:kern w:val="0"/>
          <w:sz w:val="32"/>
          <w:szCs w:val="32"/>
        </w:rPr>
      </w:pPr>
      <w:r>
        <w:rPr>
          <w:rFonts w:hint="eastAsia" w:eastAsia="仿宋_GB2312"/>
          <w:kern w:val="0"/>
          <w:sz w:val="32"/>
          <w:szCs w:val="32"/>
        </w:rPr>
        <w:t>　　</w:t>
      </w:r>
      <w:r>
        <w:rPr>
          <w:rFonts w:eastAsia="仿宋_GB2312"/>
          <w:kern w:val="0"/>
          <w:sz w:val="32"/>
          <w:szCs w:val="32"/>
        </w:rPr>
        <w:t>2.</w:t>
      </w:r>
      <w:r>
        <w:rPr>
          <w:rFonts w:hint="eastAsia" w:eastAsia="仿宋_GB2312"/>
          <w:kern w:val="0"/>
          <w:sz w:val="32"/>
          <w:szCs w:val="32"/>
        </w:rPr>
        <w:t>行政诉讼</w:t>
      </w:r>
    </w:p>
    <w:p>
      <w:pPr>
        <w:widowControl/>
        <w:spacing w:line="540" w:lineRule="exact"/>
        <w:ind w:firstLine="645"/>
        <w:rPr>
          <w:rFonts w:eastAsia="仿宋_GB2312"/>
          <w:kern w:val="0"/>
          <w:sz w:val="32"/>
          <w:szCs w:val="32"/>
        </w:rPr>
      </w:pPr>
      <w:r>
        <w:rPr>
          <w:rFonts w:hint="eastAsia" w:eastAsia="仿宋_GB2312"/>
          <w:kern w:val="0"/>
          <w:sz w:val="32"/>
          <w:szCs w:val="32"/>
        </w:rPr>
        <w:t>全区发生与政府信息公开有关的行政诉讼案件</w:t>
      </w:r>
      <w:r>
        <w:rPr>
          <w:rFonts w:eastAsia="仿宋_GB2312"/>
          <w:kern w:val="0"/>
          <w:sz w:val="32"/>
          <w:szCs w:val="32"/>
        </w:rPr>
        <w:t>95</w:t>
      </w:r>
      <w:r>
        <w:rPr>
          <w:rFonts w:hint="eastAsia" w:eastAsia="仿宋_GB2312"/>
          <w:kern w:val="0"/>
          <w:sz w:val="32"/>
          <w:szCs w:val="32"/>
        </w:rPr>
        <w:t>件。其中：维持具体行政行为或者驳回原告诉讼请求的</w:t>
      </w:r>
      <w:r>
        <w:rPr>
          <w:rFonts w:eastAsia="仿宋_GB2312"/>
          <w:kern w:val="0"/>
          <w:sz w:val="32"/>
          <w:szCs w:val="32"/>
        </w:rPr>
        <w:t>79</w:t>
      </w:r>
      <w:r>
        <w:rPr>
          <w:rFonts w:hint="eastAsia" w:eastAsia="仿宋_GB2312"/>
          <w:kern w:val="0"/>
          <w:sz w:val="32"/>
          <w:szCs w:val="32"/>
        </w:rPr>
        <w:t>件，被依法纠错的</w:t>
      </w:r>
      <w:r>
        <w:rPr>
          <w:rFonts w:eastAsia="仿宋_GB2312"/>
          <w:kern w:val="0"/>
          <w:sz w:val="32"/>
          <w:szCs w:val="32"/>
        </w:rPr>
        <w:t>1</w:t>
      </w:r>
      <w:r>
        <w:rPr>
          <w:rFonts w:hint="eastAsia" w:eastAsia="仿宋_GB2312"/>
          <w:kern w:val="0"/>
          <w:sz w:val="32"/>
          <w:szCs w:val="32"/>
        </w:rPr>
        <w:t>件，其他情形的</w:t>
      </w:r>
      <w:r>
        <w:rPr>
          <w:rFonts w:eastAsia="仿宋_GB2312"/>
          <w:kern w:val="0"/>
          <w:sz w:val="32"/>
          <w:szCs w:val="32"/>
        </w:rPr>
        <w:t>15</w:t>
      </w:r>
      <w:r>
        <w:rPr>
          <w:rFonts w:hint="eastAsia" w:eastAsia="仿宋_GB2312"/>
          <w:kern w:val="0"/>
          <w:sz w:val="32"/>
          <w:szCs w:val="32"/>
        </w:rPr>
        <w:t>件。</w:t>
      </w:r>
    </w:p>
    <w:p>
      <w:pPr>
        <w:widowControl/>
        <w:spacing w:line="540" w:lineRule="exact"/>
        <w:ind w:firstLine="640" w:firstLineChars="200"/>
        <w:rPr>
          <w:rFonts w:eastAsia="仿宋_GB2312"/>
          <w:kern w:val="0"/>
          <w:sz w:val="32"/>
          <w:szCs w:val="32"/>
        </w:rPr>
      </w:pPr>
      <w:r>
        <w:rPr>
          <w:rFonts w:eastAsia="仿宋_GB2312"/>
          <w:kern w:val="0"/>
          <w:sz w:val="32"/>
          <w:szCs w:val="32"/>
        </w:rPr>
        <w:t>3.</w:t>
      </w:r>
      <w:r>
        <w:rPr>
          <w:rFonts w:hint="eastAsia" w:eastAsia="仿宋_GB2312"/>
          <w:kern w:val="0"/>
          <w:sz w:val="32"/>
          <w:szCs w:val="32"/>
        </w:rPr>
        <w:t>举报</w:t>
      </w:r>
    </w:p>
    <w:p>
      <w:pPr>
        <w:widowControl/>
        <w:spacing w:line="540" w:lineRule="exact"/>
        <w:ind w:firstLine="645"/>
        <w:rPr>
          <w:rFonts w:eastAsia="仿宋_GB2312"/>
          <w:kern w:val="0"/>
          <w:sz w:val="32"/>
          <w:szCs w:val="32"/>
        </w:rPr>
      </w:pPr>
      <w:r>
        <w:rPr>
          <w:rFonts w:hint="eastAsia" w:eastAsia="仿宋_GB2312"/>
          <w:kern w:val="0"/>
          <w:sz w:val="32"/>
          <w:szCs w:val="32"/>
        </w:rPr>
        <w:t>全区发生与政府信息公开有关的举报投诉</w:t>
      </w:r>
      <w:r>
        <w:rPr>
          <w:rFonts w:eastAsia="仿宋_GB2312"/>
          <w:kern w:val="0"/>
          <w:sz w:val="32"/>
          <w:szCs w:val="32"/>
        </w:rPr>
        <w:t>44</w:t>
      </w:r>
      <w:r>
        <w:rPr>
          <w:rFonts w:hint="eastAsia" w:eastAsia="仿宋_GB2312"/>
          <w:kern w:val="0"/>
          <w:sz w:val="32"/>
          <w:szCs w:val="32"/>
        </w:rPr>
        <w:t>件。</w:t>
      </w:r>
    </w:p>
    <w:p>
      <w:pPr>
        <w:widowControl/>
        <w:spacing w:line="540" w:lineRule="exact"/>
        <w:ind w:firstLine="643" w:firstLineChars="200"/>
        <w:rPr>
          <w:rFonts w:eastAsia="楷体"/>
          <w:b/>
          <w:bCs/>
          <w:kern w:val="0"/>
          <w:sz w:val="32"/>
          <w:szCs w:val="32"/>
        </w:rPr>
      </w:pPr>
      <w:r>
        <w:rPr>
          <w:rFonts w:hint="eastAsia" w:eastAsia="楷体"/>
          <w:b/>
          <w:bCs/>
          <w:kern w:val="0"/>
          <w:sz w:val="32"/>
          <w:szCs w:val="32"/>
        </w:rPr>
        <w:t>（七）机构建设及保障培训情况</w:t>
      </w:r>
    </w:p>
    <w:p>
      <w:pPr>
        <w:widowControl/>
        <w:spacing w:line="540" w:lineRule="exact"/>
        <w:rPr>
          <w:rFonts w:eastAsia="仿宋_GB2312"/>
          <w:kern w:val="0"/>
          <w:sz w:val="32"/>
          <w:szCs w:val="32"/>
        </w:rPr>
      </w:pPr>
      <w:r>
        <w:rPr>
          <w:rFonts w:hint="eastAsia" w:eastAsia="仿宋_GB2312"/>
          <w:kern w:val="0"/>
          <w:sz w:val="32"/>
          <w:szCs w:val="32"/>
        </w:rPr>
        <w:t>　　</w:t>
      </w:r>
      <w:r>
        <w:rPr>
          <w:rFonts w:eastAsia="仿宋_GB2312"/>
          <w:kern w:val="0"/>
          <w:sz w:val="32"/>
          <w:szCs w:val="32"/>
        </w:rPr>
        <w:t>2017</w:t>
      </w:r>
      <w:r>
        <w:rPr>
          <w:rFonts w:hint="eastAsia" w:eastAsia="仿宋_GB2312"/>
          <w:kern w:val="0"/>
          <w:sz w:val="32"/>
          <w:szCs w:val="32"/>
        </w:rPr>
        <w:t>年，我区政府信息公开工作专门机构数为</w:t>
      </w:r>
      <w:r>
        <w:rPr>
          <w:rFonts w:eastAsia="仿宋_GB2312"/>
          <w:kern w:val="0"/>
          <w:sz w:val="32"/>
          <w:szCs w:val="32"/>
        </w:rPr>
        <w:t>71</w:t>
      </w:r>
      <w:r>
        <w:rPr>
          <w:rFonts w:hint="eastAsia" w:eastAsia="仿宋_GB2312"/>
          <w:kern w:val="0"/>
          <w:sz w:val="32"/>
          <w:szCs w:val="32"/>
        </w:rPr>
        <w:t>个，设置政府信息公开查阅点数</w:t>
      </w:r>
      <w:r>
        <w:rPr>
          <w:rFonts w:eastAsia="仿宋_GB2312"/>
          <w:kern w:val="0"/>
          <w:sz w:val="32"/>
          <w:szCs w:val="32"/>
        </w:rPr>
        <w:t>55</w:t>
      </w:r>
      <w:r>
        <w:rPr>
          <w:rFonts w:hint="eastAsia" w:eastAsia="仿宋_GB2312"/>
          <w:kern w:val="0"/>
          <w:sz w:val="32"/>
          <w:szCs w:val="32"/>
        </w:rPr>
        <w:t>个。从事政府信息公开工作人员</w:t>
      </w:r>
      <w:r>
        <w:rPr>
          <w:rFonts w:eastAsia="仿宋_GB2312"/>
          <w:kern w:val="0"/>
          <w:sz w:val="32"/>
          <w:szCs w:val="32"/>
        </w:rPr>
        <w:t>107</w:t>
      </w:r>
      <w:r>
        <w:rPr>
          <w:rFonts w:hint="eastAsia" w:eastAsia="仿宋_GB2312"/>
          <w:kern w:val="0"/>
          <w:sz w:val="32"/>
          <w:szCs w:val="32"/>
        </w:rPr>
        <w:t>人，其中，专职人员数</w:t>
      </w:r>
      <w:r>
        <w:rPr>
          <w:rFonts w:eastAsia="仿宋_GB2312"/>
          <w:kern w:val="0"/>
          <w:sz w:val="32"/>
          <w:szCs w:val="32"/>
        </w:rPr>
        <w:t>16</w:t>
      </w:r>
      <w:r>
        <w:rPr>
          <w:rFonts w:hint="eastAsia" w:eastAsia="仿宋_GB2312"/>
          <w:kern w:val="0"/>
          <w:sz w:val="32"/>
          <w:szCs w:val="32"/>
        </w:rPr>
        <w:t>人，兼职人员数</w:t>
      </w:r>
      <w:r>
        <w:rPr>
          <w:rFonts w:eastAsia="仿宋_GB2312"/>
          <w:kern w:val="0"/>
          <w:sz w:val="32"/>
          <w:szCs w:val="32"/>
        </w:rPr>
        <w:t>91</w:t>
      </w:r>
      <w:r>
        <w:rPr>
          <w:rFonts w:hint="eastAsia" w:eastAsia="仿宋_GB2312"/>
          <w:kern w:val="0"/>
          <w:sz w:val="32"/>
          <w:szCs w:val="32"/>
        </w:rPr>
        <w:t>人，政府信息公开专项经费</w:t>
      </w:r>
      <w:r>
        <w:rPr>
          <w:rFonts w:eastAsia="仿宋_GB2312"/>
          <w:kern w:val="0"/>
          <w:sz w:val="32"/>
          <w:szCs w:val="32"/>
        </w:rPr>
        <w:t>60.55</w:t>
      </w:r>
      <w:r>
        <w:rPr>
          <w:rFonts w:hint="eastAsia" w:eastAsia="仿宋_GB2312"/>
          <w:kern w:val="0"/>
          <w:sz w:val="32"/>
          <w:szCs w:val="32"/>
        </w:rPr>
        <w:t>万元；全年召开政府信息公开工作会议或专题会议</w:t>
      </w:r>
      <w:r>
        <w:rPr>
          <w:rFonts w:eastAsia="仿宋_GB2312"/>
          <w:kern w:val="0"/>
          <w:sz w:val="32"/>
          <w:szCs w:val="32"/>
        </w:rPr>
        <w:t>154</w:t>
      </w:r>
      <w:r>
        <w:rPr>
          <w:rFonts w:hint="eastAsia" w:eastAsia="仿宋_GB2312"/>
          <w:kern w:val="0"/>
          <w:sz w:val="32"/>
          <w:szCs w:val="32"/>
        </w:rPr>
        <w:t>次，举办各类培训班</w:t>
      </w:r>
      <w:r>
        <w:rPr>
          <w:rFonts w:eastAsia="仿宋_GB2312"/>
          <w:kern w:val="0"/>
          <w:sz w:val="32"/>
          <w:szCs w:val="32"/>
        </w:rPr>
        <w:t>71</w:t>
      </w:r>
      <w:r>
        <w:rPr>
          <w:rFonts w:hint="eastAsia" w:eastAsia="仿宋_GB2312"/>
          <w:kern w:val="0"/>
          <w:sz w:val="32"/>
          <w:szCs w:val="32"/>
        </w:rPr>
        <w:t>次，接受培训</w:t>
      </w:r>
      <w:r>
        <w:rPr>
          <w:rFonts w:eastAsia="仿宋_GB2312"/>
          <w:kern w:val="0"/>
          <w:sz w:val="32"/>
          <w:szCs w:val="32"/>
        </w:rPr>
        <w:t>2828</w:t>
      </w:r>
      <w:r>
        <w:rPr>
          <w:rFonts w:hint="eastAsia" w:eastAsia="仿宋_GB2312"/>
          <w:kern w:val="0"/>
          <w:sz w:val="32"/>
          <w:szCs w:val="32"/>
        </w:rPr>
        <w:t>人次。</w:t>
      </w:r>
    </w:p>
    <w:p>
      <w:pPr>
        <w:widowControl/>
        <w:spacing w:line="540" w:lineRule="exact"/>
        <w:ind w:firstLine="640" w:firstLineChars="200"/>
        <w:rPr>
          <w:rFonts w:eastAsia="黑体"/>
          <w:kern w:val="0"/>
          <w:sz w:val="32"/>
          <w:szCs w:val="32"/>
        </w:rPr>
      </w:pPr>
      <w:r>
        <w:rPr>
          <w:rFonts w:hint="eastAsia" w:eastAsia="黑体"/>
          <w:bCs/>
          <w:kern w:val="0"/>
          <w:sz w:val="32"/>
          <w:szCs w:val="32"/>
        </w:rPr>
        <w:t>四、存在的不足及改进措施</w:t>
      </w:r>
    </w:p>
    <w:p>
      <w:pPr>
        <w:widowControl/>
        <w:spacing w:line="520" w:lineRule="exact"/>
        <w:rPr>
          <w:rFonts w:eastAsia="仿宋_GB2312"/>
          <w:kern w:val="0"/>
          <w:sz w:val="32"/>
          <w:szCs w:val="32"/>
        </w:rPr>
      </w:pPr>
      <w:r>
        <w:rPr>
          <w:rFonts w:hint="eastAsia" w:eastAsia="仿宋_GB2312"/>
          <w:kern w:val="0"/>
          <w:sz w:val="32"/>
          <w:szCs w:val="32"/>
        </w:rPr>
        <w:t>　　经过不懈努力，丰台区的政府信息和政务公开工作取得了一些成绩，但与社会公众日益增长的需求相比，仍然存在诸多需要加强和改进的方面。</w:t>
      </w:r>
    </w:p>
    <w:p>
      <w:pPr>
        <w:widowControl/>
        <w:spacing w:line="520" w:lineRule="exact"/>
        <w:ind w:firstLine="643" w:firstLineChars="200"/>
        <w:rPr>
          <w:rFonts w:eastAsia="楷体_GB2312"/>
          <w:b/>
          <w:kern w:val="0"/>
          <w:sz w:val="32"/>
          <w:szCs w:val="32"/>
        </w:rPr>
      </w:pPr>
      <w:r>
        <w:rPr>
          <w:rFonts w:hint="eastAsia" w:eastAsia="楷体_GB2312"/>
          <w:b/>
          <w:kern w:val="0"/>
          <w:sz w:val="32"/>
          <w:szCs w:val="32"/>
        </w:rPr>
        <w:t>（一）存在的问题</w:t>
      </w:r>
    </w:p>
    <w:p>
      <w:pPr>
        <w:widowControl/>
        <w:spacing w:line="520" w:lineRule="exact"/>
        <w:ind w:firstLine="640" w:firstLineChars="200"/>
        <w:rPr>
          <w:rFonts w:eastAsia="仿宋_GB2312"/>
          <w:kern w:val="0"/>
          <w:sz w:val="32"/>
          <w:szCs w:val="32"/>
        </w:rPr>
      </w:pPr>
      <w:r>
        <w:rPr>
          <w:rFonts w:hint="eastAsia" w:eastAsia="仿宋_GB2312"/>
          <w:kern w:val="0"/>
          <w:sz w:val="32"/>
          <w:szCs w:val="32"/>
        </w:rPr>
        <w:t>一是在主动公开的信息内容广度与深度上，与社会公众对信息公开需求仍存在一定差距，重点领域信息公开需进一步拓展公开的深度广度。二是与群众生活密切相关的重要民生实事信息，公开力度需进一步提高。三是政府信息公开工作人员的业务能力和服务水平有待进一步提升，业务培训有待加强。</w:t>
      </w:r>
    </w:p>
    <w:p>
      <w:pPr>
        <w:widowControl/>
        <w:spacing w:line="520" w:lineRule="exact"/>
        <w:ind w:firstLine="643" w:firstLineChars="200"/>
        <w:rPr>
          <w:rFonts w:eastAsia="楷体_GB2312"/>
          <w:b/>
          <w:kern w:val="0"/>
          <w:sz w:val="32"/>
          <w:szCs w:val="32"/>
        </w:rPr>
      </w:pPr>
      <w:r>
        <w:rPr>
          <w:rFonts w:hint="eastAsia" w:eastAsia="楷体_GB2312"/>
          <w:b/>
          <w:kern w:val="0"/>
          <w:sz w:val="32"/>
          <w:szCs w:val="32"/>
        </w:rPr>
        <w:t>（二）</w:t>
      </w:r>
      <w:r>
        <w:rPr>
          <w:rFonts w:eastAsia="楷体_GB2312"/>
          <w:b/>
          <w:kern w:val="0"/>
          <w:sz w:val="32"/>
          <w:szCs w:val="32"/>
        </w:rPr>
        <w:t>2018</w:t>
      </w:r>
      <w:r>
        <w:rPr>
          <w:rFonts w:hint="eastAsia" w:eastAsia="楷体_GB2312"/>
          <w:b/>
          <w:kern w:val="0"/>
          <w:sz w:val="32"/>
          <w:szCs w:val="32"/>
        </w:rPr>
        <w:t>年改进措施</w:t>
      </w:r>
    </w:p>
    <w:p>
      <w:pPr>
        <w:widowControl/>
        <w:spacing w:line="520" w:lineRule="exact"/>
        <w:ind w:firstLine="645"/>
        <w:rPr>
          <w:rFonts w:eastAsia="仿宋_GB2312"/>
          <w:kern w:val="0"/>
          <w:sz w:val="32"/>
          <w:szCs w:val="32"/>
        </w:rPr>
      </w:pPr>
      <w:r>
        <w:rPr>
          <w:rFonts w:hint="eastAsia" w:eastAsia="仿宋_GB2312"/>
          <w:kern w:val="0"/>
          <w:sz w:val="32"/>
          <w:szCs w:val="32"/>
        </w:rPr>
        <w:t>一是进一步探索政务公开工作新思路。总结政务开放日工作的试点经验，推动政务开放日活动高标准、常态化开展。二是推动重大决策预公开和政策解读工作，实现民意征集、政策解读的有序衔接，满足公众知情需要，进一步增进政府工作透明度。三是组织好新闻发布工作，展现丰台区工作特点和亮点。四是进一步完善信息公开工作机制，针对出现的新情况对重点领域政务公开清单进行动态调整，做好清单信息补充和更新。五是规范依申请公开工作程序，畅通依申请公开受理渠道，做好受理和答复工作，严格按照法定时限、严谨规范进行答复。六是进一步完善培训及考核制度，提高政务公开工作队伍的专业化、理论化水平，继续严格绩效考核，对考核指标和要求进行细化完善，提高工作标准，依法满足公民、法人和其他组织的合理信息需求。</w:t>
      </w:r>
    </w:p>
    <w:p>
      <w:pPr>
        <w:widowControl/>
        <w:spacing w:line="520" w:lineRule="exact"/>
        <w:ind w:right="640" w:firstLine="4480" w:firstLineChars="1400"/>
        <w:jc w:val="right"/>
        <w:rPr>
          <w:rFonts w:eastAsia="仿宋_GB2312"/>
          <w:kern w:val="0"/>
          <w:sz w:val="32"/>
          <w:szCs w:val="32"/>
        </w:rPr>
      </w:pPr>
      <w:r>
        <w:rPr>
          <w:rFonts w:hint="eastAsia" w:eastAsia="仿宋_GB2312"/>
          <w:kern w:val="0"/>
          <w:sz w:val="32"/>
          <w:szCs w:val="32"/>
        </w:rPr>
        <w:t>丰台区人民政府</w:t>
      </w:r>
    </w:p>
    <w:p>
      <w:pPr>
        <w:widowControl/>
        <w:spacing w:line="520" w:lineRule="exact"/>
        <w:ind w:right="640" w:firstLine="4480" w:firstLineChars="1400"/>
        <w:jc w:val="right"/>
      </w:pPr>
      <w:r>
        <w:rPr>
          <w:rFonts w:hint="eastAsia" w:eastAsia="仿宋_GB2312"/>
          <w:kern w:val="0"/>
          <w:sz w:val="32"/>
          <w:szCs w:val="32"/>
        </w:rPr>
        <w:t>二</w:t>
      </w:r>
      <w:r>
        <w:rPr>
          <w:rFonts w:hint="eastAsia"/>
          <w:kern w:val="0"/>
          <w:sz w:val="32"/>
          <w:szCs w:val="32"/>
        </w:rPr>
        <w:t>〇</w:t>
      </w:r>
      <w:r>
        <w:rPr>
          <w:rFonts w:hint="eastAsia" w:eastAsia="仿宋_GB2312"/>
          <w:kern w:val="0"/>
          <w:sz w:val="32"/>
          <w:szCs w:val="32"/>
        </w:rPr>
        <w:t>一八年三月</w:t>
      </w:r>
    </w:p>
    <w:tbl>
      <w:tblPr>
        <w:tblStyle w:val="6"/>
        <w:tblW w:w="8397" w:type="dxa"/>
        <w:jc w:val="center"/>
        <w:tblLayout w:type="autofit"/>
        <w:tblCellMar>
          <w:top w:w="0" w:type="dxa"/>
          <w:left w:w="108" w:type="dxa"/>
          <w:bottom w:w="0" w:type="dxa"/>
          <w:right w:w="108" w:type="dxa"/>
        </w:tblCellMar>
      </w:tblPr>
      <w:tblGrid>
        <w:gridCol w:w="6946"/>
        <w:gridCol w:w="567"/>
        <w:gridCol w:w="884"/>
      </w:tblGrid>
      <w:tr>
        <w:tblPrEx>
          <w:tblCellMar>
            <w:top w:w="0" w:type="dxa"/>
            <w:left w:w="108" w:type="dxa"/>
            <w:bottom w:w="0" w:type="dxa"/>
            <w:right w:w="108" w:type="dxa"/>
          </w:tblCellMar>
        </w:tblPrEx>
        <w:trPr>
          <w:trHeight w:val="285" w:hRule="atLeast"/>
          <w:jc w:val="center"/>
        </w:trPr>
        <w:tc>
          <w:tcPr>
            <w:tcW w:w="6946" w:type="dxa"/>
            <w:tcBorders>
              <w:top w:val="nil"/>
              <w:left w:val="nil"/>
              <w:bottom w:val="nil"/>
              <w:right w:val="nil"/>
            </w:tcBorders>
            <w:shd w:val="clear" w:color="auto" w:fill="auto"/>
            <w:noWrap/>
            <w:vAlign w:val="bottom"/>
          </w:tcPr>
          <w:p>
            <w:pPr>
              <w:widowControl/>
              <w:spacing w:line="600" w:lineRule="exact"/>
              <w:ind w:firstLine="645"/>
              <w:rPr>
                <w:rFonts w:eastAsia="仿宋_GB2312"/>
                <w:kern w:val="0"/>
                <w:sz w:val="32"/>
                <w:szCs w:val="32"/>
              </w:rPr>
            </w:pPr>
          </w:p>
        </w:tc>
        <w:tc>
          <w:tcPr>
            <w:tcW w:w="567" w:type="dxa"/>
            <w:tcBorders>
              <w:top w:val="nil"/>
              <w:left w:val="nil"/>
              <w:bottom w:val="nil"/>
              <w:right w:val="nil"/>
            </w:tcBorders>
            <w:shd w:val="clear" w:color="000000" w:fill="FFFFFF"/>
            <w:vAlign w:val="center"/>
          </w:tcPr>
          <w:p>
            <w:pPr>
              <w:widowControl/>
              <w:jc w:val="center"/>
              <w:rPr>
                <w:rFonts w:eastAsia="等线"/>
                <w:b/>
                <w:bCs/>
                <w:kern w:val="0"/>
                <w:sz w:val="36"/>
                <w:szCs w:val="36"/>
              </w:rPr>
            </w:pPr>
          </w:p>
        </w:tc>
        <w:tc>
          <w:tcPr>
            <w:tcW w:w="884" w:type="dxa"/>
            <w:tcBorders>
              <w:top w:val="nil"/>
              <w:left w:val="nil"/>
              <w:bottom w:val="nil"/>
              <w:right w:val="nil"/>
            </w:tcBorders>
            <w:shd w:val="clear" w:color="000000" w:fill="FFFFFF"/>
            <w:vAlign w:val="center"/>
          </w:tcPr>
          <w:p>
            <w:pPr>
              <w:widowControl/>
              <w:jc w:val="center"/>
              <w:rPr>
                <w:rFonts w:eastAsia="等线"/>
                <w:b/>
                <w:bCs/>
                <w:kern w:val="0"/>
                <w:sz w:val="36"/>
                <w:szCs w:val="36"/>
              </w:rPr>
            </w:pPr>
          </w:p>
        </w:tc>
      </w:tr>
      <w:tr>
        <w:tblPrEx>
          <w:tblCellMar>
            <w:top w:w="0" w:type="dxa"/>
            <w:left w:w="108" w:type="dxa"/>
            <w:bottom w:w="0" w:type="dxa"/>
            <w:right w:w="108" w:type="dxa"/>
          </w:tblCellMar>
        </w:tblPrEx>
        <w:trPr>
          <w:trHeight w:val="255" w:hRule="atLeast"/>
          <w:jc w:val="center"/>
        </w:trPr>
        <w:tc>
          <w:tcPr>
            <w:tcW w:w="6946" w:type="dxa"/>
            <w:tcBorders>
              <w:top w:val="nil"/>
              <w:left w:val="nil"/>
              <w:bottom w:val="nil"/>
              <w:right w:val="nil"/>
            </w:tcBorders>
            <w:shd w:val="clear" w:color="auto" w:fill="auto"/>
            <w:noWrap/>
            <w:vAlign w:val="bottom"/>
          </w:tcPr>
          <w:tbl>
            <w:tblPr>
              <w:tblStyle w:val="6"/>
              <w:tblW w:w="0" w:type="auto"/>
              <w:tblInd w:w="93" w:type="dxa"/>
              <w:tblLayout w:type="autofit"/>
              <w:tblCellMar>
                <w:top w:w="0" w:type="dxa"/>
                <w:left w:w="108" w:type="dxa"/>
                <w:bottom w:w="0" w:type="dxa"/>
                <w:right w:w="108" w:type="dxa"/>
              </w:tblCellMar>
            </w:tblPr>
            <w:tblGrid>
              <w:gridCol w:w="615"/>
              <w:gridCol w:w="4769"/>
              <w:gridCol w:w="615"/>
            </w:tblGrid>
            <w:tr>
              <w:tblPrEx>
                <w:tblCellMar>
                  <w:top w:w="0" w:type="dxa"/>
                  <w:left w:w="108" w:type="dxa"/>
                  <w:bottom w:w="0" w:type="dxa"/>
                  <w:right w:w="108" w:type="dxa"/>
                </w:tblCellMar>
              </w:tblPrEx>
              <w:trPr>
                <w:trHeight w:val="450" w:hRule="atLeast"/>
              </w:trPr>
              <w:tc>
                <w:tcPr>
                  <w:tcW w:w="0" w:type="auto"/>
                  <w:gridSpan w:val="3"/>
                  <w:tcBorders>
                    <w:top w:val="nil"/>
                    <w:left w:val="nil"/>
                    <w:bottom w:val="nil"/>
                    <w:right w:val="nil"/>
                  </w:tcBorders>
                  <w:shd w:val="clear" w:color="auto" w:fill="auto"/>
                  <w:vAlign w:val="center"/>
                </w:tcPr>
                <w:p>
                  <w:pPr>
                    <w:widowControl/>
                    <w:rPr>
                      <w:rFonts w:eastAsia="仿宋_GB2312"/>
                      <w:kern w:val="0"/>
                      <w:sz w:val="32"/>
                      <w:szCs w:val="32"/>
                    </w:rPr>
                  </w:pPr>
                  <w:r>
                    <w:rPr>
                      <w:rFonts w:hint="eastAsia"/>
                      <w:b/>
                      <w:bCs/>
                      <w:kern w:val="0"/>
                      <w:sz w:val="36"/>
                      <w:szCs w:val="36"/>
                    </w:rPr>
                    <w:t>丰台区人民政府信息公开情况统计表</w:t>
                  </w:r>
                </w:p>
              </w:tc>
            </w:tr>
            <w:tr>
              <w:tblPrEx>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widowControl/>
                    <w:spacing w:line="600" w:lineRule="exact"/>
                    <w:ind w:firstLine="645"/>
                    <w:rPr>
                      <w:rFonts w:eastAsia="仿宋_GB2312"/>
                      <w:kern w:val="0"/>
                      <w:sz w:val="32"/>
                      <w:szCs w:val="32"/>
                    </w:rPr>
                  </w:pPr>
                </w:p>
              </w:tc>
              <w:tc>
                <w:tcPr>
                  <w:tcW w:w="0" w:type="auto"/>
                  <w:tcBorders>
                    <w:top w:val="nil"/>
                    <w:left w:val="nil"/>
                    <w:bottom w:val="nil"/>
                    <w:right w:val="nil"/>
                  </w:tcBorders>
                  <w:shd w:val="clear" w:color="auto" w:fill="auto"/>
                  <w:noWrap/>
                  <w:vAlign w:val="center"/>
                </w:tcPr>
                <w:p>
                  <w:pPr>
                    <w:widowControl/>
                    <w:jc w:val="center"/>
                    <w:rPr>
                      <w:rFonts w:eastAsia="仿宋_GB2312"/>
                      <w:kern w:val="0"/>
                      <w:sz w:val="32"/>
                      <w:szCs w:val="32"/>
                    </w:rPr>
                  </w:pPr>
                  <w:r>
                    <w:rPr>
                      <w:rFonts w:hint="eastAsia"/>
                      <w:b/>
                      <w:bCs/>
                      <w:kern w:val="0"/>
                      <w:sz w:val="24"/>
                    </w:rPr>
                    <w:t>（</w:t>
                  </w:r>
                  <w:r>
                    <w:rPr>
                      <w:b/>
                      <w:bCs/>
                      <w:kern w:val="0"/>
                      <w:sz w:val="24"/>
                    </w:rPr>
                    <w:t>2017</w:t>
                  </w:r>
                  <w:r>
                    <w:rPr>
                      <w:rFonts w:hint="eastAsia"/>
                      <w:b/>
                      <w:bCs/>
                      <w:kern w:val="0"/>
                      <w:sz w:val="24"/>
                    </w:rPr>
                    <w:t>年度）</w:t>
                  </w:r>
                </w:p>
              </w:tc>
              <w:tc>
                <w:tcPr>
                  <w:tcW w:w="0" w:type="auto"/>
                  <w:tcBorders>
                    <w:top w:val="nil"/>
                    <w:left w:val="nil"/>
                    <w:bottom w:val="nil"/>
                    <w:right w:val="nil"/>
                  </w:tcBorders>
                  <w:shd w:val="clear" w:color="auto" w:fill="auto"/>
                  <w:noWrap/>
                  <w:vAlign w:val="center"/>
                </w:tcPr>
                <w:p>
                  <w:pPr>
                    <w:widowControl/>
                    <w:spacing w:line="600" w:lineRule="exact"/>
                    <w:ind w:firstLine="645"/>
                    <w:rPr>
                      <w:rFonts w:eastAsia="仿宋_GB2312"/>
                      <w:kern w:val="0"/>
                      <w:sz w:val="32"/>
                      <w:szCs w:val="32"/>
                    </w:rPr>
                  </w:pPr>
                </w:p>
              </w:tc>
            </w:tr>
          </w:tbl>
          <w:p>
            <w:pPr>
              <w:widowControl/>
              <w:spacing w:line="600" w:lineRule="exact"/>
              <w:ind w:firstLine="645"/>
              <w:rPr>
                <w:rFonts w:eastAsia="仿宋_GB2312"/>
                <w:kern w:val="0"/>
                <w:sz w:val="32"/>
                <w:szCs w:val="32"/>
              </w:rPr>
            </w:pPr>
          </w:p>
        </w:tc>
        <w:tc>
          <w:tcPr>
            <w:tcW w:w="567" w:type="dxa"/>
            <w:tcBorders>
              <w:top w:val="nil"/>
              <w:left w:val="nil"/>
              <w:bottom w:val="nil"/>
              <w:right w:val="nil"/>
            </w:tcBorders>
            <w:shd w:val="clear" w:color="000000" w:fill="FFFFFF"/>
            <w:noWrap/>
            <w:vAlign w:val="center"/>
          </w:tcPr>
          <w:p>
            <w:pPr>
              <w:widowControl/>
              <w:jc w:val="center"/>
              <w:rPr>
                <w:kern w:val="0"/>
                <w:sz w:val="20"/>
                <w:szCs w:val="20"/>
              </w:rPr>
            </w:pPr>
          </w:p>
        </w:tc>
        <w:tc>
          <w:tcPr>
            <w:tcW w:w="884" w:type="dxa"/>
            <w:tcBorders>
              <w:top w:val="nil"/>
              <w:left w:val="nil"/>
              <w:bottom w:val="nil"/>
              <w:right w:val="nil"/>
            </w:tcBorders>
            <w:shd w:val="clear" w:color="000000" w:fill="FFFFFF"/>
            <w:vAlign w:val="center"/>
          </w:tcPr>
          <w:p>
            <w:pPr>
              <w:widowControl/>
              <w:jc w:val="center"/>
              <w:rPr>
                <w:rFonts w:eastAsia="等线"/>
                <w:b/>
                <w:bCs/>
                <w:kern w:val="0"/>
                <w:sz w:val="36"/>
                <w:szCs w:val="36"/>
              </w:rPr>
            </w:pPr>
          </w:p>
        </w:tc>
      </w:tr>
      <w:tr>
        <w:tblPrEx>
          <w:tblCellMar>
            <w:top w:w="0" w:type="dxa"/>
            <w:left w:w="108" w:type="dxa"/>
            <w:bottom w:w="0" w:type="dxa"/>
            <w:right w:w="108" w:type="dxa"/>
          </w:tblCellMar>
        </w:tblPrEx>
        <w:trPr>
          <w:trHeight w:val="597" w:hRule="atLeast"/>
          <w:jc w:val="center"/>
        </w:trPr>
        <w:tc>
          <w:tcPr>
            <w:tcW w:w="6946" w:type="dxa"/>
            <w:tcBorders>
              <w:top w:val="nil"/>
              <w:left w:val="nil"/>
              <w:bottom w:val="nil"/>
              <w:right w:val="nil"/>
            </w:tcBorders>
            <w:shd w:val="clear" w:color="auto" w:fill="auto"/>
            <w:noWrap/>
            <w:vAlign w:val="bottom"/>
          </w:tcPr>
          <w:p>
            <w:pPr>
              <w:widowControl/>
              <w:jc w:val="left"/>
              <w:rPr>
                <w:kern w:val="0"/>
                <w:sz w:val="20"/>
                <w:szCs w:val="20"/>
              </w:rPr>
            </w:pPr>
          </w:p>
        </w:tc>
        <w:tc>
          <w:tcPr>
            <w:tcW w:w="567" w:type="dxa"/>
            <w:tcBorders>
              <w:top w:val="nil"/>
              <w:left w:val="nil"/>
              <w:bottom w:val="nil"/>
              <w:right w:val="nil"/>
            </w:tcBorders>
            <w:shd w:val="clear" w:color="000000" w:fill="FFFFFF"/>
            <w:vAlign w:val="center"/>
          </w:tcPr>
          <w:p>
            <w:pPr>
              <w:widowControl/>
              <w:jc w:val="center"/>
              <w:rPr>
                <w:rFonts w:eastAsia="等线"/>
                <w:b/>
                <w:bCs/>
                <w:kern w:val="0"/>
                <w:sz w:val="36"/>
                <w:szCs w:val="36"/>
              </w:rPr>
            </w:pPr>
          </w:p>
        </w:tc>
        <w:tc>
          <w:tcPr>
            <w:tcW w:w="884" w:type="dxa"/>
            <w:tcBorders>
              <w:top w:val="nil"/>
              <w:left w:val="nil"/>
              <w:bottom w:val="nil"/>
              <w:right w:val="nil"/>
            </w:tcBorders>
            <w:shd w:val="clear" w:color="000000" w:fill="FFFFFF"/>
            <w:vAlign w:val="center"/>
          </w:tcPr>
          <w:p>
            <w:pPr>
              <w:widowControl/>
              <w:jc w:val="center"/>
              <w:rPr>
                <w:rFonts w:eastAsia="等线"/>
                <w:b/>
                <w:bCs/>
                <w:kern w:val="0"/>
                <w:sz w:val="36"/>
                <w:szCs w:val="36"/>
              </w:rPr>
            </w:pPr>
          </w:p>
        </w:tc>
      </w:tr>
      <w:tr>
        <w:tblPrEx>
          <w:tblCellMar>
            <w:top w:w="0" w:type="dxa"/>
            <w:left w:w="108" w:type="dxa"/>
            <w:bottom w:w="0" w:type="dxa"/>
            <w:right w:w="108" w:type="dxa"/>
          </w:tblCellMar>
        </w:tblPrEx>
        <w:trPr>
          <w:trHeight w:val="255" w:hRule="atLeast"/>
          <w:jc w:val="center"/>
        </w:trPr>
        <w:tc>
          <w:tcPr>
            <w:tcW w:w="6946" w:type="dxa"/>
            <w:tcBorders>
              <w:top w:val="nil"/>
              <w:left w:val="nil"/>
              <w:bottom w:val="nil"/>
              <w:right w:val="nil"/>
            </w:tcBorders>
            <w:shd w:val="clear" w:color="auto" w:fill="auto"/>
            <w:noWrap/>
            <w:vAlign w:val="bottom"/>
          </w:tcPr>
          <w:p>
            <w:pPr>
              <w:widowControl/>
              <w:jc w:val="left"/>
              <w:rPr>
                <w:kern w:val="0"/>
                <w:sz w:val="20"/>
                <w:szCs w:val="20"/>
              </w:rPr>
            </w:pPr>
          </w:p>
        </w:tc>
        <w:tc>
          <w:tcPr>
            <w:tcW w:w="567" w:type="dxa"/>
            <w:tcBorders>
              <w:top w:val="nil"/>
              <w:left w:val="nil"/>
              <w:bottom w:val="nil"/>
              <w:right w:val="nil"/>
            </w:tcBorders>
            <w:shd w:val="clear" w:color="000000" w:fill="FFFFFF"/>
            <w:noWrap/>
            <w:vAlign w:val="center"/>
          </w:tcPr>
          <w:p>
            <w:pPr>
              <w:widowControl/>
              <w:jc w:val="center"/>
              <w:rPr>
                <w:kern w:val="0"/>
                <w:sz w:val="20"/>
                <w:szCs w:val="20"/>
              </w:rPr>
            </w:pPr>
            <w:r>
              <w:rPr>
                <w:rFonts w:hint="eastAsia"/>
                <w:kern w:val="0"/>
                <w:sz w:val="20"/>
                <w:szCs w:val="20"/>
              </w:rPr>
              <w:t>　</w:t>
            </w:r>
          </w:p>
        </w:tc>
        <w:tc>
          <w:tcPr>
            <w:tcW w:w="884" w:type="dxa"/>
            <w:tcBorders>
              <w:top w:val="nil"/>
              <w:left w:val="nil"/>
              <w:bottom w:val="nil"/>
              <w:right w:val="nil"/>
            </w:tcBorders>
            <w:shd w:val="clear" w:color="000000" w:fill="FFFFFF"/>
            <w:noWrap/>
            <w:vAlign w:val="center"/>
          </w:tcPr>
          <w:p>
            <w:pPr>
              <w:widowControl/>
              <w:jc w:val="center"/>
              <w:rPr>
                <w:kern w:val="0"/>
                <w:sz w:val="20"/>
                <w:szCs w:val="20"/>
              </w:rPr>
            </w:pPr>
            <w:r>
              <w:rPr>
                <w:rFonts w:hint="eastAsia"/>
                <w:kern w:val="0"/>
                <w:sz w:val="20"/>
                <w:szCs w:val="20"/>
              </w:rPr>
              <w:t>　</w:t>
            </w:r>
          </w:p>
        </w:tc>
      </w:tr>
      <w:tr>
        <w:tblPrEx>
          <w:tblCellMar>
            <w:top w:w="0" w:type="dxa"/>
            <w:left w:w="108" w:type="dxa"/>
            <w:bottom w:w="0" w:type="dxa"/>
            <w:right w:w="108" w:type="dxa"/>
          </w:tblCellMar>
        </w:tblPrEx>
        <w:trPr>
          <w:trHeight w:val="435" w:hRule="atLeast"/>
          <w:jc w:val="center"/>
        </w:trPr>
        <w:tc>
          <w:tcPr>
            <w:tcW w:w="69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kern w:val="0"/>
                <w:sz w:val="20"/>
                <w:szCs w:val="20"/>
              </w:rPr>
            </w:pPr>
            <w:r>
              <w:rPr>
                <w:rFonts w:hint="eastAsia"/>
                <w:kern w:val="0"/>
                <w:sz w:val="20"/>
                <w:szCs w:val="20"/>
              </w:rPr>
              <w:t>统</w:t>
            </w:r>
            <w:r>
              <w:rPr>
                <w:kern w:val="0"/>
                <w:sz w:val="20"/>
                <w:szCs w:val="20"/>
              </w:rPr>
              <w:t xml:space="preserve"> </w:t>
            </w:r>
            <w:r>
              <w:rPr>
                <w:rFonts w:hint="eastAsia"/>
                <w:kern w:val="0"/>
                <w:sz w:val="20"/>
                <w:szCs w:val="20"/>
              </w:rPr>
              <w:t>计</w:t>
            </w:r>
            <w:r>
              <w:rPr>
                <w:kern w:val="0"/>
                <w:sz w:val="20"/>
                <w:szCs w:val="20"/>
              </w:rPr>
              <w:t xml:space="preserve"> </w:t>
            </w:r>
            <w:r>
              <w:rPr>
                <w:rFonts w:hint="eastAsia"/>
                <w:kern w:val="0"/>
                <w:sz w:val="20"/>
                <w:szCs w:val="20"/>
              </w:rPr>
              <w:t>指</w:t>
            </w:r>
            <w:r>
              <w:rPr>
                <w:kern w:val="0"/>
                <w:sz w:val="20"/>
                <w:szCs w:val="20"/>
              </w:rPr>
              <w:t xml:space="preserve"> </w:t>
            </w:r>
            <w:r>
              <w:rPr>
                <w:rFonts w:hint="eastAsia"/>
                <w:kern w:val="0"/>
                <w:sz w:val="20"/>
                <w:szCs w:val="20"/>
              </w:rPr>
              <w:t>标</w:t>
            </w:r>
          </w:p>
        </w:tc>
        <w:tc>
          <w:tcPr>
            <w:tcW w:w="567" w:type="dxa"/>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eastAsia="等线"/>
                <w:b/>
                <w:bCs/>
                <w:kern w:val="0"/>
                <w:sz w:val="22"/>
                <w:szCs w:val="22"/>
              </w:rPr>
            </w:pPr>
            <w:r>
              <w:rPr>
                <w:rFonts w:hint="eastAsia" w:eastAsia="等线"/>
                <w:b/>
                <w:bCs/>
                <w:kern w:val="0"/>
                <w:sz w:val="22"/>
                <w:szCs w:val="22"/>
              </w:rPr>
              <w:t>单位</w:t>
            </w:r>
          </w:p>
        </w:tc>
        <w:tc>
          <w:tcPr>
            <w:tcW w:w="884" w:type="dxa"/>
            <w:tcBorders>
              <w:top w:val="single" w:color="000000" w:sz="4" w:space="0"/>
              <w:left w:val="nil"/>
              <w:bottom w:val="single" w:color="000000" w:sz="4" w:space="0"/>
              <w:right w:val="single" w:color="000000" w:sz="4" w:space="0"/>
            </w:tcBorders>
            <w:shd w:val="clear" w:color="auto" w:fill="auto"/>
            <w:noWrap/>
            <w:vAlign w:val="bottom"/>
          </w:tcPr>
          <w:p>
            <w:pPr>
              <w:widowControl/>
              <w:jc w:val="left"/>
              <w:rPr>
                <w:kern w:val="0"/>
                <w:sz w:val="20"/>
                <w:szCs w:val="20"/>
              </w:rPr>
            </w:pPr>
            <w:r>
              <w:rPr>
                <w:rFonts w:hint="eastAsia"/>
                <w:kern w:val="0"/>
                <w:sz w:val="20"/>
                <w:szCs w:val="20"/>
              </w:rPr>
              <w:t>统计数</w:t>
            </w:r>
          </w:p>
        </w:tc>
      </w:tr>
      <w:tr>
        <w:tblPrEx>
          <w:tblCellMar>
            <w:top w:w="0" w:type="dxa"/>
            <w:left w:w="108" w:type="dxa"/>
            <w:bottom w:w="0" w:type="dxa"/>
            <w:right w:w="108" w:type="dxa"/>
          </w:tblCellMar>
        </w:tblPrEx>
        <w:trPr>
          <w:trHeight w:val="435" w:hRule="atLeast"/>
          <w:jc w:val="center"/>
        </w:trPr>
        <w:tc>
          <w:tcPr>
            <w:tcW w:w="6946"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kern w:val="0"/>
                <w:sz w:val="20"/>
                <w:szCs w:val="20"/>
              </w:rPr>
            </w:pPr>
            <w:r>
              <w:rPr>
                <w:rFonts w:hint="eastAsia"/>
                <w:kern w:val="0"/>
                <w:sz w:val="20"/>
                <w:szCs w:val="20"/>
              </w:rPr>
              <w:t>一、主动公开情况</w:t>
            </w:r>
          </w:p>
        </w:tc>
        <w:tc>
          <w:tcPr>
            <w:tcW w:w="567" w:type="dxa"/>
            <w:tcBorders>
              <w:top w:val="nil"/>
              <w:left w:val="nil"/>
              <w:bottom w:val="nil"/>
              <w:right w:val="nil"/>
            </w:tcBorders>
            <w:shd w:val="clear" w:color="000000" w:fill="FFFFFF"/>
            <w:noWrap/>
            <w:vAlign w:val="center"/>
          </w:tcPr>
          <w:p>
            <w:pPr>
              <w:widowControl/>
              <w:jc w:val="center"/>
              <w:rPr>
                <w:kern w:val="0"/>
                <w:sz w:val="20"/>
                <w:szCs w:val="20"/>
              </w:rPr>
            </w:pPr>
            <w:r>
              <w:rPr>
                <w:rFonts w:hint="eastAsia"/>
                <w:kern w:val="0"/>
                <w:sz w:val="20"/>
                <w:szCs w:val="20"/>
              </w:rPr>
              <w:t>　</w:t>
            </w:r>
          </w:p>
        </w:tc>
        <w:tc>
          <w:tcPr>
            <w:tcW w:w="884"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kern w:val="0"/>
                <w:sz w:val="20"/>
                <w:szCs w:val="20"/>
              </w:rPr>
            </w:pPr>
            <w:r>
              <w:rPr>
                <w:rFonts w:hint="eastAsia"/>
                <w:kern w:val="0"/>
                <w:sz w:val="20"/>
                <w:szCs w:val="20"/>
              </w:rPr>
              <w:t>　</w:t>
            </w:r>
          </w:p>
        </w:tc>
      </w:tr>
      <w:tr>
        <w:tblPrEx>
          <w:tblCellMar>
            <w:top w:w="0" w:type="dxa"/>
            <w:left w:w="108" w:type="dxa"/>
            <w:bottom w:w="0" w:type="dxa"/>
            <w:right w:w="108" w:type="dxa"/>
          </w:tblCellMar>
        </w:tblPrEx>
        <w:trPr>
          <w:trHeight w:val="360" w:hRule="atLeast"/>
          <w:jc w:val="center"/>
        </w:trPr>
        <w:tc>
          <w:tcPr>
            <w:tcW w:w="6946"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kern w:val="0"/>
                <w:sz w:val="20"/>
                <w:szCs w:val="20"/>
              </w:rPr>
            </w:pPr>
            <w:r>
              <w:rPr>
                <w:rFonts w:hint="eastAsia"/>
                <w:kern w:val="0"/>
                <w:sz w:val="20"/>
                <w:szCs w:val="20"/>
              </w:rPr>
              <w:t>（一）主动公开政府信息数（不同渠道和方式公开相同信息计</w:t>
            </w:r>
            <w:r>
              <w:rPr>
                <w:kern w:val="0"/>
                <w:sz w:val="20"/>
                <w:szCs w:val="20"/>
              </w:rPr>
              <w:t>1</w:t>
            </w:r>
            <w:r>
              <w:rPr>
                <w:rFonts w:hint="eastAsia"/>
                <w:kern w:val="0"/>
                <w:sz w:val="20"/>
                <w:szCs w:val="20"/>
              </w:rPr>
              <w:t>条）</w:t>
            </w:r>
          </w:p>
        </w:tc>
        <w:tc>
          <w:tcPr>
            <w:tcW w:w="567" w:type="dxa"/>
            <w:tcBorders>
              <w:top w:val="single" w:color="000000" w:sz="4" w:space="0"/>
              <w:left w:val="nil"/>
              <w:bottom w:val="single" w:color="000000" w:sz="4" w:space="0"/>
              <w:right w:val="single" w:color="000000" w:sz="4" w:space="0"/>
            </w:tcBorders>
            <w:shd w:val="clear" w:color="000000" w:fill="FFFFFF"/>
            <w:vAlign w:val="center"/>
          </w:tcPr>
          <w:p>
            <w:pPr>
              <w:widowControl/>
              <w:jc w:val="center"/>
              <w:rPr>
                <w:kern w:val="0"/>
                <w:sz w:val="20"/>
                <w:szCs w:val="20"/>
              </w:rPr>
            </w:pPr>
            <w:r>
              <w:rPr>
                <w:rFonts w:hint="eastAsia"/>
                <w:kern w:val="0"/>
                <w:sz w:val="20"/>
                <w:szCs w:val="20"/>
              </w:rPr>
              <w:t>条</w:t>
            </w:r>
          </w:p>
        </w:tc>
        <w:tc>
          <w:tcPr>
            <w:tcW w:w="884" w:type="dxa"/>
            <w:tcBorders>
              <w:top w:val="nil"/>
              <w:left w:val="nil"/>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40422</w:t>
            </w:r>
          </w:p>
        </w:tc>
      </w:tr>
      <w:tr>
        <w:tblPrEx>
          <w:tblCellMar>
            <w:top w:w="0" w:type="dxa"/>
            <w:left w:w="108" w:type="dxa"/>
            <w:bottom w:w="0" w:type="dxa"/>
            <w:right w:w="108" w:type="dxa"/>
          </w:tblCellMar>
        </w:tblPrEx>
        <w:trPr>
          <w:trHeight w:val="360" w:hRule="atLeast"/>
          <w:jc w:val="center"/>
        </w:trPr>
        <w:tc>
          <w:tcPr>
            <w:tcW w:w="6946"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 xml:space="preserve">           </w:t>
            </w:r>
            <w:r>
              <w:rPr>
                <w:rFonts w:hint="eastAsia"/>
                <w:kern w:val="0"/>
                <w:sz w:val="20"/>
                <w:szCs w:val="20"/>
              </w:rPr>
              <w:t>其中：主动公开规范性文件数</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kern w:val="0"/>
                <w:sz w:val="20"/>
                <w:szCs w:val="20"/>
              </w:rPr>
            </w:pPr>
            <w:r>
              <w:rPr>
                <w:rFonts w:hint="eastAsia"/>
                <w:kern w:val="0"/>
                <w:sz w:val="20"/>
                <w:szCs w:val="20"/>
              </w:rPr>
              <w:t>条</w:t>
            </w:r>
          </w:p>
        </w:tc>
        <w:tc>
          <w:tcPr>
            <w:tcW w:w="884" w:type="dxa"/>
            <w:tcBorders>
              <w:top w:val="nil"/>
              <w:left w:val="nil"/>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506</w:t>
            </w:r>
          </w:p>
        </w:tc>
      </w:tr>
      <w:tr>
        <w:tblPrEx>
          <w:tblCellMar>
            <w:top w:w="0" w:type="dxa"/>
            <w:left w:w="108" w:type="dxa"/>
            <w:bottom w:w="0" w:type="dxa"/>
            <w:right w:w="108" w:type="dxa"/>
          </w:tblCellMar>
        </w:tblPrEx>
        <w:trPr>
          <w:trHeight w:val="435" w:hRule="atLeast"/>
          <w:jc w:val="center"/>
        </w:trPr>
        <w:tc>
          <w:tcPr>
            <w:tcW w:w="6946"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 xml:space="preserve">           </w:t>
            </w:r>
            <w:r>
              <w:rPr>
                <w:rFonts w:hint="eastAsia"/>
                <w:kern w:val="0"/>
                <w:sz w:val="20"/>
                <w:szCs w:val="20"/>
              </w:rPr>
              <w:t>制发规范性文件总数</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kern w:val="0"/>
                <w:sz w:val="20"/>
                <w:szCs w:val="20"/>
              </w:rPr>
            </w:pPr>
            <w:r>
              <w:rPr>
                <w:rFonts w:hint="eastAsia"/>
                <w:kern w:val="0"/>
                <w:sz w:val="20"/>
                <w:szCs w:val="20"/>
              </w:rPr>
              <w:t>件</w:t>
            </w:r>
          </w:p>
        </w:tc>
        <w:tc>
          <w:tcPr>
            <w:tcW w:w="884" w:type="dxa"/>
            <w:tcBorders>
              <w:top w:val="nil"/>
              <w:left w:val="nil"/>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1387</w:t>
            </w:r>
          </w:p>
        </w:tc>
      </w:tr>
      <w:tr>
        <w:tblPrEx>
          <w:tblCellMar>
            <w:top w:w="0" w:type="dxa"/>
            <w:left w:w="108" w:type="dxa"/>
            <w:bottom w:w="0" w:type="dxa"/>
            <w:right w:w="108" w:type="dxa"/>
          </w:tblCellMar>
        </w:tblPrEx>
        <w:trPr>
          <w:trHeight w:val="435" w:hRule="atLeast"/>
          <w:jc w:val="center"/>
        </w:trPr>
        <w:tc>
          <w:tcPr>
            <w:tcW w:w="6946"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 xml:space="preserve">  </w:t>
            </w:r>
            <w:r>
              <w:rPr>
                <w:rFonts w:hint="eastAsia"/>
                <w:kern w:val="0"/>
                <w:sz w:val="20"/>
                <w:szCs w:val="20"/>
              </w:rPr>
              <w:t>（二）重点领域公开政府信息数（不同渠道和方式公开相同信息计</w:t>
            </w:r>
            <w:r>
              <w:rPr>
                <w:kern w:val="0"/>
                <w:sz w:val="20"/>
                <w:szCs w:val="20"/>
              </w:rPr>
              <w:t>1</w:t>
            </w:r>
            <w:r>
              <w:rPr>
                <w:rFonts w:hint="eastAsia"/>
                <w:kern w:val="0"/>
                <w:sz w:val="20"/>
                <w:szCs w:val="20"/>
              </w:rPr>
              <w:t>条）</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kern w:val="0"/>
                <w:sz w:val="20"/>
                <w:szCs w:val="20"/>
              </w:rPr>
            </w:pPr>
            <w:r>
              <w:rPr>
                <w:rFonts w:hint="eastAsia"/>
                <w:kern w:val="0"/>
                <w:sz w:val="20"/>
                <w:szCs w:val="20"/>
              </w:rPr>
              <w:t>条</w:t>
            </w:r>
          </w:p>
        </w:tc>
        <w:tc>
          <w:tcPr>
            <w:tcW w:w="884" w:type="dxa"/>
            <w:tcBorders>
              <w:top w:val="nil"/>
              <w:left w:val="nil"/>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2717</w:t>
            </w:r>
          </w:p>
        </w:tc>
      </w:tr>
      <w:tr>
        <w:tblPrEx>
          <w:tblCellMar>
            <w:top w:w="0" w:type="dxa"/>
            <w:left w:w="108" w:type="dxa"/>
            <w:bottom w:w="0" w:type="dxa"/>
            <w:right w:w="108" w:type="dxa"/>
          </w:tblCellMar>
        </w:tblPrEx>
        <w:trPr>
          <w:trHeight w:val="435" w:hRule="atLeast"/>
          <w:jc w:val="center"/>
        </w:trPr>
        <w:tc>
          <w:tcPr>
            <w:tcW w:w="6946"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 xml:space="preserve">           </w:t>
            </w:r>
            <w:r>
              <w:rPr>
                <w:rFonts w:hint="eastAsia"/>
                <w:kern w:val="0"/>
                <w:sz w:val="20"/>
                <w:szCs w:val="20"/>
              </w:rPr>
              <w:t>其中：主动公开财政预算决算、</w:t>
            </w:r>
            <w:r>
              <w:rPr>
                <w:rFonts w:hint="eastAsia"/>
                <w:kern w:val="0"/>
                <w:sz w:val="20"/>
                <w:szCs w:val="20"/>
                <w:lang w:eastAsia="zh-CN"/>
              </w:rPr>
              <w:t>“三公”经费</w:t>
            </w:r>
            <w:r>
              <w:rPr>
                <w:rFonts w:hint="eastAsia"/>
                <w:kern w:val="0"/>
                <w:sz w:val="20"/>
                <w:szCs w:val="20"/>
              </w:rPr>
              <w:t>和行政经费信息数</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kern w:val="0"/>
                <w:sz w:val="20"/>
                <w:szCs w:val="20"/>
              </w:rPr>
            </w:pPr>
            <w:r>
              <w:rPr>
                <w:rFonts w:hint="eastAsia"/>
                <w:kern w:val="0"/>
                <w:sz w:val="20"/>
                <w:szCs w:val="20"/>
              </w:rPr>
              <w:t>条</w:t>
            </w:r>
          </w:p>
        </w:tc>
        <w:tc>
          <w:tcPr>
            <w:tcW w:w="884" w:type="dxa"/>
            <w:tcBorders>
              <w:top w:val="nil"/>
              <w:left w:val="nil"/>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170</w:t>
            </w:r>
          </w:p>
        </w:tc>
      </w:tr>
      <w:tr>
        <w:tblPrEx>
          <w:tblCellMar>
            <w:top w:w="0" w:type="dxa"/>
            <w:left w:w="108" w:type="dxa"/>
            <w:bottom w:w="0" w:type="dxa"/>
            <w:right w:w="108" w:type="dxa"/>
          </w:tblCellMar>
        </w:tblPrEx>
        <w:trPr>
          <w:trHeight w:val="435" w:hRule="atLeast"/>
          <w:jc w:val="center"/>
        </w:trPr>
        <w:tc>
          <w:tcPr>
            <w:tcW w:w="6946"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 xml:space="preserve">           </w:t>
            </w:r>
            <w:r>
              <w:rPr>
                <w:rFonts w:hint="eastAsia"/>
                <w:kern w:val="0"/>
                <w:sz w:val="20"/>
                <w:szCs w:val="20"/>
              </w:rPr>
              <w:t>主动公开保障性安居工程建设计划、项目开工和竣工情况，保障性住房的分配和退出等信息数</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kern w:val="0"/>
                <w:sz w:val="20"/>
                <w:szCs w:val="20"/>
              </w:rPr>
            </w:pPr>
            <w:r>
              <w:rPr>
                <w:rFonts w:hint="eastAsia"/>
                <w:kern w:val="0"/>
                <w:sz w:val="20"/>
                <w:szCs w:val="20"/>
              </w:rPr>
              <w:t>条</w:t>
            </w:r>
          </w:p>
        </w:tc>
        <w:tc>
          <w:tcPr>
            <w:tcW w:w="884" w:type="dxa"/>
            <w:tcBorders>
              <w:top w:val="nil"/>
              <w:left w:val="nil"/>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109</w:t>
            </w:r>
          </w:p>
        </w:tc>
      </w:tr>
      <w:tr>
        <w:tblPrEx>
          <w:tblCellMar>
            <w:top w:w="0" w:type="dxa"/>
            <w:left w:w="108" w:type="dxa"/>
            <w:bottom w:w="0" w:type="dxa"/>
            <w:right w:w="108" w:type="dxa"/>
          </w:tblCellMar>
        </w:tblPrEx>
        <w:trPr>
          <w:trHeight w:val="435" w:hRule="atLeast"/>
          <w:jc w:val="center"/>
        </w:trPr>
        <w:tc>
          <w:tcPr>
            <w:tcW w:w="6946"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 xml:space="preserve">              </w:t>
            </w:r>
            <w:r>
              <w:rPr>
                <w:rFonts w:hint="eastAsia"/>
                <w:kern w:val="0"/>
                <w:sz w:val="20"/>
                <w:szCs w:val="20"/>
              </w:rPr>
              <w:t>主动公开食品安全标准，食品生产经营许可、专项检查整治等信息数</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kern w:val="0"/>
                <w:sz w:val="20"/>
                <w:szCs w:val="20"/>
              </w:rPr>
            </w:pPr>
            <w:r>
              <w:rPr>
                <w:rFonts w:hint="eastAsia"/>
                <w:kern w:val="0"/>
                <w:sz w:val="20"/>
                <w:szCs w:val="20"/>
              </w:rPr>
              <w:t>条</w:t>
            </w:r>
          </w:p>
        </w:tc>
        <w:tc>
          <w:tcPr>
            <w:tcW w:w="884" w:type="dxa"/>
            <w:tcBorders>
              <w:top w:val="nil"/>
              <w:left w:val="nil"/>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211</w:t>
            </w:r>
          </w:p>
        </w:tc>
      </w:tr>
      <w:tr>
        <w:tblPrEx>
          <w:tblCellMar>
            <w:top w:w="0" w:type="dxa"/>
            <w:left w:w="108" w:type="dxa"/>
            <w:bottom w:w="0" w:type="dxa"/>
            <w:right w:w="108" w:type="dxa"/>
          </w:tblCellMar>
        </w:tblPrEx>
        <w:trPr>
          <w:trHeight w:val="435" w:hRule="atLeast"/>
          <w:jc w:val="center"/>
        </w:trPr>
        <w:tc>
          <w:tcPr>
            <w:tcW w:w="6946"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 xml:space="preserve">               </w:t>
            </w:r>
            <w:r>
              <w:rPr>
                <w:rFonts w:hint="eastAsia"/>
                <w:kern w:val="0"/>
                <w:sz w:val="20"/>
                <w:szCs w:val="20"/>
              </w:rPr>
              <w:t>主动公开环境核查审批、环境状况公报和重特大突发环境事件等信息数</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kern w:val="0"/>
                <w:sz w:val="20"/>
                <w:szCs w:val="20"/>
              </w:rPr>
            </w:pPr>
            <w:r>
              <w:rPr>
                <w:rFonts w:hint="eastAsia"/>
                <w:kern w:val="0"/>
                <w:sz w:val="20"/>
                <w:szCs w:val="20"/>
              </w:rPr>
              <w:t>条</w:t>
            </w:r>
          </w:p>
        </w:tc>
        <w:tc>
          <w:tcPr>
            <w:tcW w:w="884" w:type="dxa"/>
            <w:tcBorders>
              <w:top w:val="nil"/>
              <w:left w:val="nil"/>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29</w:t>
            </w:r>
          </w:p>
        </w:tc>
      </w:tr>
      <w:tr>
        <w:tblPrEx>
          <w:tblCellMar>
            <w:top w:w="0" w:type="dxa"/>
            <w:left w:w="108" w:type="dxa"/>
            <w:bottom w:w="0" w:type="dxa"/>
            <w:right w:w="108" w:type="dxa"/>
          </w:tblCellMar>
        </w:tblPrEx>
        <w:trPr>
          <w:trHeight w:val="435" w:hRule="atLeast"/>
          <w:jc w:val="center"/>
        </w:trPr>
        <w:tc>
          <w:tcPr>
            <w:tcW w:w="6946"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 xml:space="preserve">              </w:t>
            </w:r>
            <w:r>
              <w:rPr>
                <w:rFonts w:hint="eastAsia"/>
                <w:kern w:val="0"/>
                <w:sz w:val="20"/>
                <w:szCs w:val="20"/>
              </w:rPr>
              <w:t>主动公开招投标违法违规行为及处理情况、国有资金占控股或者主导地位依法应当招标的项目等信息数</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kern w:val="0"/>
                <w:sz w:val="20"/>
                <w:szCs w:val="20"/>
              </w:rPr>
            </w:pPr>
            <w:r>
              <w:rPr>
                <w:rFonts w:hint="eastAsia"/>
                <w:kern w:val="0"/>
                <w:sz w:val="20"/>
                <w:szCs w:val="20"/>
              </w:rPr>
              <w:t>条</w:t>
            </w:r>
          </w:p>
        </w:tc>
        <w:tc>
          <w:tcPr>
            <w:tcW w:w="884" w:type="dxa"/>
            <w:tcBorders>
              <w:top w:val="nil"/>
              <w:left w:val="nil"/>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0</w:t>
            </w:r>
          </w:p>
        </w:tc>
      </w:tr>
      <w:tr>
        <w:tblPrEx>
          <w:tblCellMar>
            <w:top w:w="0" w:type="dxa"/>
            <w:left w:w="108" w:type="dxa"/>
            <w:bottom w:w="0" w:type="dxa"/>
            <w:right w:w="108" w:type="dxa"/>
          </w:tblCellMar>
        </w:tblPrEx>
        <w:trPr>
          <w:trHeight w:val="435" w:hRule="atLeast"/>
          <w:jc w:val="center"/>
        </w:trPr>
        <w:tc>
          <w:tcPr>
            <w:tcW w:w="6946"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 xml:space="preserve">              </w:t>
            </w:r>
            <w:r>
              <w:rPr>
                <w:rFonts w:hint="eastAsia"/>
                <w:kern w:val="0"/>
                <w:sz w:val="20"/>
                <w:szCs w:val="20"/>
              </w:rPr>
              <w:t>主动公开生产安全事故的政府举措、处置进展、风险预警、防范措施等信息数</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kern w:val="0"/>
                <w:sz w:val="20"/>
                <w:szCs w:val="20"/>
              </w:rPr>
            </w:pPr>
            <w:r>
              <w:rPr>
                <w:rFonts w:hint="eastAsia"/>
                <w:kern w:val="0"/>
                <w:sz w:val="20"/>
                <w:szCs w:val="20"/>
              </w:rPr>
              <w:t>条</w:t>
            </w:r>
          </w:p>
        </w:tc>
        <w:tc>
          <w:tcPr>
            <w:tcW w:w="884" w:type="dxa"/>
            <w:tcBorders>
              <w:top w:val="nil"/>
              <w:left w:val="nil"/>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172</w:t>
            </w:r>
          </w:p>
        </w:tc>
      </w:tr>
      <w:tr>
        <w:tblPrEx>
          <w:tblCellMar>
            <w:top w:w="0" w:type="dxa"/>
            <w:left w:w="108" w:type="dxa"/>
            <w:bottom w:w="0" w:type="dxa"/>
            <w:right w:w="108" w:type="dxa"/>
          </w:tblCellMar>
        </w:tblPrEx>
        <w:trPr>
          <w:trHeight w:val="435" w:hRule="atLeast"/>
          <w:jc w:val="center"/>
        </w:trPr>
        <w:tc>
          <w:tcPr>
            <w:tcW w:w="6946"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 xml:space="preserve">              </w:t>
            </w:r>
            <w:r>
              <w:rPr>
                <w:rFonts w:hint="eastAsia"/>
                <w:kern w:val="0"/>
                <w:sz w:val="20"/>
                <w:szCs w:val="20"/>
              </w:rPr>
              <w:t>主动公开农用地转为建设用地批准、征收集体土地批准、征地公告征地补偿安置公示、集体土地征收结案等信息数</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kern w:val="0"/>
                <w:sz w:val="20"/>
                <w:szCs w:val="20"/>
              </w:rPr>
            </w:pPr>
            <w:r>
              <w:rPr>
                <w:rFonts w:hint="eastAsia"/>
                <w:kern w:val="0"/>
                <w:sz w:val="20"/>
                <w:szCs w:val="20"/>
              </w:rPr>
              <w:t>条</w:t>
            </w:r>
          </w:p>
        </w:tc>
        <w:tc>
          <w:tcPr>
            <w:tcW w:w="884" w:type="dxa"/>
            <w:tcBorders>
              <w:top w:val="nil"/>
              <w:left w:val="nil"/>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7</w:t>
            </w:r>
          </w:p>
        </w:tc>
      </w:tr>
      <w:tr>
        <w:tblPrEx>
          <w:tblCellMar>
            <w:top w:w="0" w:type="dxa"/>
            <w:left w:w="108" w:type="dxa"/>
            <w:bottom w:w="0" w:type="dxa"/>
            <w:right w:w="108" w:type="dxa"/>
          </w:tblCellMar>
        </w:tblPrEx>
        <w:trPr>
          <w:trHeight w:val="360" w:hRule="atLeast"/>
          <w:jc w:val="center"/>
        </w:trPr>
        <w:tc>
          <w:tcPr>
            <w:tcW w:w="6946"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 xml:space="preserve">              </w:t>
            </w:r>
            <w:r>
              <w:rPr>
                <w:rFonts w:hint="eastAsia"/>
                <w:kern w:val="0"/>
                <w:sz w:val="20"/>
                <w:szCs w:val="20"/>
              </w:rPr>
              <w:t>主动公开政府指导价、政府定价和收费标准调整的项目、价格、依据、执行时间和范围等信息数</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kern w:val="0"/>
                <w:sz w:val="20"/>
                <w:szCs w:val="20"/>
              </w:rPr>
            </w:pPr>
            <w:r>
              <w:rPr>
                <w:rFonts w:hint="eastAsia"/>
                <w:kern w:val="0"/>
                <w:sz w:val="20"/>
                <w:szCs w:val="20"/>
              </w:rPr>
              <w:t>条</w:t>
            </w:r>
          </w:p>
        </w:tc>
        <w:tc>
          <w:tcPr>
            <w:tcW w:w="884" w:type="dxa"/>
            <w:tcBorders>
              <w:top w:val="nil"/>
              <w:left w:val="nil"/>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2</w:t>
            </w:r>
          </w:p>
        </w:tc>
      </w:tr>
      <w:tr>
        <w:tblPrEx>
          <w:tblCellMar>
            <w:top w:w="0" w:type="dxa"/>
            <w:left w:w="108" w:type="dxa"/>
            <w:bottom w:w="0" w:type="dxa"/>
            <w:right w:w="108" w:type="dxa"/>
          </w:tblCellMar>
        </w:tblPrEx>
        <w:trPr>
          <w:trHeight w:val="360" w:hRule="atLeast"/>
          <w:jc w:val="center"/>
        </w:trPr>
        <w:tc>
          <w:tcPr>
            <w:tcW w:w="6946"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 xml:space="preserve">              </w:t>
            </w:r>
            <w:r>
              <w:rPr>
                <w:rFonts w:hint="eastAsia"/>
                <w:kern w:val="0"/>
                <w:sz w:val="20"/>
                <w:szCs w:val="20"/>
              </w:rPr>
              <w:t>主动公开本市企业信用信息系统中的警示信息和良好信息等信息数</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kern w:val="0"/>
                <w:sz w:val="20"/>
                <w:szCs w:val="20"/>
              </w:rPr>
            </w:pPr>
            <w:r>
              <w:rPr>
                <w:rFonts w:hint="eastAsia"/>
                <w:kern w:val="0"/>
                <w:sz w:val="20"/>
                <w:szCs w:val="20"/>
              </w:rPr>
              <w:t>条</w:t>
            </w:r>
          </w:p>
        </w:tc>
        <w:tc>
          <w:tcPr>
            <w:tcW w:w="884" w:type="dxa"/>
            <w:tcBorders>
              <w:top w:val="nil"/>
              <w:left w:val="nil"/>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5</w:t>
            </w:r>
          </w:p>
        </w:tc>
      </w:tr>
      <w:tr>
        <w:tblPrEx>
          <w:tblCellMar>
            <w:top w:w="0" w:type="dxa"/>
            <w:left w:w="108" w:type="dxa"/>
            <w:bottom w:w="0" w:type="dxa"/>
            <w:right w:w="108" w:type="dxa"/>
          </w:tblCellMar>
        </w:tblPrEx>
        <w:trPr>
          <w:trHeight w:val="435" w:hRule="atLeast"/>
          <w:jc w:val="center"/>
        </w:trPr>
        <w:tc>
          <w:tcPr>
            <w:tcW w:w="6946"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 xml:space="preserve">              </w:t>
            </w:r>
            <w:r>
              <w:rPr>
                <w:rFonts w:hint="eastAsia"/>
                <w:kern w:val="0"/>
                <w:sz w:val="20"/>
                <w:szCs w:val="20"/>
              </w:rPr>
              <w:t>主动公开政府部门预算执行审计结果等信息数</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kern w:val="0"/>
                <w:sz w:val="20"/>
                <w:szCs w:val="20"/>
              </w:rPr>
            </w:pPr>
            <w:r>
              <w:rPr>
                <w:rFonts w:hint="eastAsia"/>
                <w:kern w:val="0"/>
                <w:sz w:val="20"/>
                <w:szCs w:val="20"/>
              </w:rPr>
              <w:t>条</w:t>
            </w:r>
          </w:p>
        </w:tc>
        <w:tc>
          <w:tcPr>
            <w:tcW w:w="884" w:type="dxa"/>
            <w:tcBorders>
              <w:top w:val="nil"/>
              <w:left w:val="nil"/>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25</w:t>
            </w:r>
          </w:p>
        </w:tc>
      </w:tr>
      <w:tr>
        <w:tblPrEx>
          <w:tblCellMar>
            <w:top w:w="0" w:type="dxa"/>
            <w:left w:w="108" w:type="dxa"/>
            <w:bottom w:w="0" w:type="dxa"/>
            <w:right w:w="108" w:type="dxa"/>
          </w:tblCellMar>
        </w:tblPrEx>
        <w:trPr>
          <w:trHeight w:val="435" w:hRule="atLeast"/>
          <w:jc w:val="center"/>
        </w:trPr>
        <w:tc>
          <w:tcPr>
            <w:tcW w:w="6946"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 xml:space="preserve">              </w:t>
            </w:r>
            <w:r>
              <w:rPr>
                <w:rFonts w:hint="eastAsia"/>
                <w:kern w:val="0"/>
                <w:sz w:val="20"/>
                <w:szCs w:val="20"/>
              </w:rPr>
              <w:t>主动公开行政机关对与人民群众利益密切相关的公共企事业单位进行监督管理的信息数</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kern w:val="0"/>
                <w:sz w:val="20"/>
                <w:szCs w:val="20"/>
              </w:rPr>
            </w:pPr>
            <w:r>
              <w:rPr>
                <w:rFonts w:hint="eastAsia"/>
                <w:kern w:val="0"/>
                <w:sz w:val="20"/>
                <w:szCs w:val="20"/>
              </w:rPr>
              <w:t>条</w:t>
            </w:r>
          </w:p>
        </w:tc>
        <w:tc>
          <w:tcPr>
            <w:tcW w:w="884" w:type="dxa"/>
            <w:tcBorders>
              <w:top w:val="nil"/>
              <w:left w:val="nil"/>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136</w:t>
            </w:r>
          </w:p>
        </w:tc>
      </w:tr>
      <w:tr>
        <w:tblPrEx>
          <w:tblCellMar>
            <w:top w:w="0" w:type="dxa"/>
            <w:left w:w="108" w:type="dxa"/>
            <w:bottom w:w="0" w:type="dxa"/>
            <w:right w:w="108" w:type="dxa"/>
          </w:tblCellMar>
        </w:tblPrEx>
        <w:trPr>
          <w:trHeight w:val="435" w:hRule="atLeast"/>
          <w:jc w:val="center"/>
        </w:trPr>
        <w:tc>
          <w:tcPr>
            <w:tcW w:w="6946"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 xml:space="preserve">              </w:t>
            </w:r>
            <w:r>
              <w:rPr>
                <w:rFonts w:hint="eastAsia"/>
                <w:kern w:val="0"/>
                <w:sz w:val="20"/>
                <w:szCs w:val="20"/>
              </w:rPr>
              <w:t>主动公开市人民政府决定主动公开的其他信息数</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kern w:val="0"/>
                <w:sz w:val="20"/>
                <w:szCs w:val="20"/>
              </w:rPr>
            </w:pPr>
            <w:r>
              <w:rPr>
                <w:rFonts w:hint="eastAsia"/>
                <w:kern w:val="0"/>
                <w:sz w:val="20"/>
                <w:szCs w:val="20"/>
              </w:rPr>
              <w:t>条</w:t>
            </w:r>
          </w:p>
        </w:tc>
        <w:tc>
          <w:tcPr>
            <w:tcW w:w="884" w:type="dxa"/>
            <w:tcBorders>
              <w:top w:val="nil"/>
              <w:left w:val="nil"/>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490</w:t>
            </w:r>
          </w:p>
        </w:tc>
      </w:tr>
      <w:tr>
        <w:tblPrEx>
          <w:tblCellMar>
            <w:top w:w="0" w:type="dxa"/>
            <w:left w:w="108" w:type="dxa"/>
            <w:bottom w:w="0" w:type="dxa"/>
            <w:right w:w="108" w:type="dxa"/>
          </w:tblCellMar>
        </w:tblPrEx>
        <w:trPr>
          <w:trHeight w:val="435" w:hRule="atLeast"/>
          <w:jc w:val="center"/>
        </w:trPr>
        <w:tc>
          <w:tcPr>
            <w:tcW w:w="6946"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 xml:space="preserve">  </w:t>
            </w:r>
            <w:r>
              <w:rPr>
                <w:rFonts w:hint="eastAsia"/>
                <w:kern w:val="0"/>
                <w:sz w:val="20"/>
                <w:szCs w:val="20"/>
              </w:rPr>
              <w:t>（三）通过不同渠道和方式公开政府信息的情况</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kern w:val="0"/>
                <w:sz w:val="20"/>
                <w:szCs w:val="20"/>
              </w:rPr>
            </w:pPr>
            <w:r>
              <w:rPr>
                <w:rFonts w:hint="eastAsia"/>
                <w:kern w:val="0"/>
                <w:sz w:val="20"/>
                <w:szCs w:val="20"/>
              </w:rPr>
              <w:t>　</w:t>
            </w:r>
          </w:p>
        </w:tc>
        <w:tc>
          <w:tcPr>
            <w:tcW w:w="884" w:type="dxa"/>
            <w:tcBorders>
              <w:top w:val="nil"/>
              <w:left w:val="nil"/>
              <w:bottom w:val="single" w:color="000000" w:sz="4" w:space="0"/>
              <w:right w:val="single" w:color="000000" w:sz="4" w:space="0"/>
            </w:tcBorders>
            <w:shd w:val="clear" w:color="auto" w:fill="auto"/>
            <w:noWrap/>
            <w:vAlign w:val="bottom"/>
          </w:tcPr>
          <w:p>
            <w:pPr>
              <w:widowControl/>
              <w:jc w:val="left"/>
              <w:rPr>
                <w:kern w:val="0"/>
                <w:sz w:val="20"/>
                <w:szCs w:val="20"/>
              </w:rPr>
            </w:pPr>
            <w:r>
              <w:rPr>
                <w:rFonts w:hint="eastAsia"/>
                <w:kern w:val="0"/>
                <w:sz w:val="20"/>
                <w:szCs w:val="20"/>
              </w:rPr>
              <w:t>　</w:t>
            </w:r>
          </w:p>
        </w:tc>
      </w:tr>
      <w:tr>
        <w:tblPrEx>
          <w:tblCellMar>
            <w:top w:w="0" w:type="dxa"/>
            <w:left w:w="108" w:type="dxa"/>
            <w:bottom w:w="0" w:type="dxa"/>
            <w:right w:w="108" w:type="dxa"/>
          </w:tblCellMar>
        </w:tblPrEx>
        <w:trPr>
          <w:trHeight w:val="435" w:hRule="atLeast"/>
          <w:jc w:val="center"/>
        </w:trPr>
        <w:tc>
          <w:tcPr>
            <w:tcW w:w="6946"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 xml:space="preserve">     1.</w:t>
            </w:r>
            <w:r>
              <w:rPr>
                <w:rFonts w:hint="eastAsia"/>
                <w:kern w:val="0"/>
                <w:sz w:val="20"/>
                <w:szCs w:val="20"/>
              </w:rPr>
              <w:t>政府公报公开政府信息数</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kern w:val="0"/>
                <w:sz w:val="20"/>
                <w:szCs w:val="20"/>
              </w:rPr>
            </w:pPr>
            <w:r>
              <w:rPr>
                <w:rFonts w:hint="eastAsia"/>
                <w:kern w:val="0"/>
                <w:sz w:val="20"/>
                <w:szCs w:val="20"/>
              </w:rPr>
              <w:t>条</w:t>
            </w:r>
          </w:p>
        </w:tc>
        <w:tc>
          <w:tcPr>
            <w:tcW w:w="884" w:type="dxa"/>
            <w:tcBorders>
              <w:top w:val="nil"/>
              <w:left w:val="nil"/>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0</w:t>
            </w:r>
          </w:p>
        </w:tc>
      </w:tr>
      <w:tr>
        <w:tblPrEx>
          <w:tblCellMar>
            <w:top w:w="0" w:type="dxa"/>
            <w:left w:w="108" w:type="dxa"/>
            <w:bottom w:w="0" w:type="dxa"/>
            <w:right w:w="108" w:type="dxa"/>
          </w:tblCellMar>
        </w:tblPrEx>
        <w:trPr>
          <w:trHeight w:val="435" w:hRule="atLeast"/>
          <w:jc w:val="center"/>
        </w:trPr>
        <w:tc>
          <w:tcPr>
            <w:tcW w:w="6946"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 xml:space="preserve">     2.</w:t>
            </w:r>
            <w:r>
              <w:rPr>
                <w:rFonts w:hint="eastAsia"/>
                <w:kern w:val="0"/>
                <w:sz w:val="20"/>
                <w:szCs w:val="20"/>
              </w:rPr>
              <w:t>政府网站公开政府信息数</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kern w:val="0"/>
                <w:sz w:val="20"/>
                <w:szCs w:val="20"/>
              </w:rPr>
            </w:pPr>
            <w:r>
              <w:rPr>
                <w:rFonts w:hint="eastAsia"/>
                <w:kern w:val="0"/>
                <w:sz w:val="20"/>
                <w:szCs w:val="20"/>
              </w:rPr>
              <w:t>条</w:t>
            </w:r>
          </w:p>
        </w:tc>
        <w:tc>
          <w:tcPr>
            <w:tcW w:w="884" w:type="dxa"/>
            <w:tcBorders>
              <w:top w:val="nil"/>
              <w:left w:val="nil"/>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34337</w:t>
            </w:r>
          </w:p>
        </w:tc>
      </w:tr>
      <w:tr>
        <w:tblPrEx>
          <w:tblCellMar>
            <w:top w:w="0" w:type="dxa"/>
            <w:left w:w="108" w:type="dxa"/>
            <w:bottom w:w="0" w:type="dxa"/>
            <w:right w:w="108" w:type="dxa"/>
          </w:tblCellMar>
        </w:tblPrEx>
        <w:trPr>
          <w:trHeight w:val="435" w:hRule="atLeast"/>
          <w:jc w:val="center"/>
        </w:trPr>
        <w:tc>
          <w:tcPr>
            <w:tcW w:w="6946"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 xml:space="preserve">     3.</w:t>
            </w:r>
            <w:r>
              <w:rPr>
                <w:rFonts w:hint="eastAsia"/>
                <w:kern w:val="0"/>
                <w:sz w:val="20"/>
                <w:szCs w:val="20"/>
              </w:rPr>
              <w:t>政务微博公开政府信息数</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kern w:val="0"/>
                <w:sz w:val="20"/>
                <w:szCs w:val="20"/>
              </w:rPr>
            </w:pPr>
            <w:r>
              <w:rPr>
                <w:rFonts w:hint="eastAsia"/>
                <w:kern w:val="0"/>
                <w:sz w:val="20"/>
                <w:szCs w:val="20"/>
              </w:rPr>
              <w:t>条</w:t>
            </w:r>
          </w:p>
        </w:tc>
        <w:tc>
          <w:tcPr>
            <w:tcW w:w="884" w:type="dxa"/>
            <w:tcBorders>
              <w:top w:val="nil"/>
              <w:left w:val="nil"/>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17940</w:t>
            </w:r>
          </w:p>
        </w:tc>
      </w:tr>
      <w:tr>
        <w:tblPrEx>
          <w:tblCellMar>
            <w:top w:w="0" w:type="dxa"/>
            <w:left w:w="108" w:type="dxa"/>
            <w:bottom w:w="0" w:type="dxa"/>
            <w:right w:w="108" w:type="dxa"/>
          </w:tblCellMar>
        </w:tblPrEx>
        <w:trPr>
          <w:trHeight w:val="435" w:hRule="atLeast"/>
          <w:jc w:val="center"/>
        </w:trPr>
        <w:tc>
          <w:tcPr>
            <w:tcW w:w="6946"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 xml:space="preserve">     4.</w:t>
            </w:r>
            <w:r>
              <w:rPr>
                <w:rFonts w:hint="eastAsia"/>
                <w:kern w:val="0"/>
                <w:sz w:val="20"/>
                <w:szCs w:val="20"/>
              </w:rPr>
              <w:t>政务微信公开政府信息数</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kern w:val="0"/>
                <w:sz w:val="20"/>
                <w:szCs w:val="20"/>
              </w:rPr>
            </w:pPr>
            <w:r>
              <w:rPr>
                <w:rFonts w:hint="eastAsia"/>
                <w:kern w:val="0"/>
                <w:sz w:val="20"/>
                <w:szCs w:val="20"/>
              </w:rPr>
              <w:t>条</w:t>
            </w:r>
          </w:p>
        </w:tc>
        <w:tc>
          <w:tcPr>
            <w:tcW w:w="884" w:type="dxa"/>
            <w:tcBorders>
              <w:top w:val="nil"/>
              <w:left w:val="nil"/>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9879</w:t>
            </w:r>
          </w:p>
        </w:tc>
      </w:tr>
      <w:tr>
        <w:tblPrEx>
          <w:tblCellMar>
            <w:top w:w="0" w:type="dxa"/>
            <w:left w:w="108" w:type="dxa"/>
            <w:bottom w:w="0" w:type="dxa"/>
            <w:right w:w="108" w:type="dxa"/>
          </w:tblCellMar>
        </w:tblPrEx>
        <w:trPr>
          <w:trHeight w:val="435" w:hRule="atLeast"/>
          <w:jc w:val="center"/>
        </w:trPr>
        <w:tc>
          <w:tcPr>
            <w:tcW w:w="6946"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 xml:space="preserve">     5.</w:t>
            </w:r>
            <w:r>
              <w:rPr>
                <w:rFonts w:hint="eastAsia"/>
                <w:kern w:val="0"/>
                <w:sz w:val="20"/>
                <w:szCs w:val="20"/>
              </w:rPr>
              <w:t>其他方式公开政府信息数</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kern w:val="0"/>
                <w:sz w:val="20"/>
                <w:szCs w:val="20"/>
              </w:rPr>
            </w:pPr>
            <w:r>
              <w:rPr>
                <w:rFonts w:hint="eastAsia"/>
                <w:kern w:val="0"/>
                <w:sz w:val="20"/>
                <w:szCs w:val="20"/>
              </w:rPr>
              <w:t>条</w:t>
            </w:r>
          </w:p>
        </w:tc>
        <w:tc>
          <w:tcPr>
            <w:tcW w:w="884" w:type="dxa"/>
            <w:tcBorders>
              <w:top w:val="nil"/>
              <w:left w:val="nil"/>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3230</w:t>
            </w:r>
          </w:p>
        </w:tc>
      </w:tr>
      <w:tr>
        <w:tblPrEx>
          <w:tblCellMar>
            <w:top w:w="0" w:type="dxa"/>
            <w:left w:w="108" w:type="dxa"/>
            <w:bottom w:w="0" w:type="dxa"/>
            <w:right w:w="108" w:type="dxa"/>
          </w:tblCellMar>
        </w:tblPrEx>
        <w:trPr>
          <w:trHeight w:val="435" w:hRule="atLeast"/>
          <w:jc w:val="center"/>
        </w:trPr>
        <w:tc>
          <w:tcPr>
            <w:tcW w:w="6946"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kern w:val="0"/>
                <w:sz w:val="20"/>
                <w:szCs w:val="20"/>
              </w:rPr>
            </w:pPr>
            <w:r>
              <w:rPr>
                <w:rFonts w:hint="eastAsia"/>
                <w:kern w:val="0"/>
                <w:sz w:val="20"/>
                <w:szCs w:val="20"/>
              </w:rPr>
              <w:t>二、回应解读情况</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kern w:val="0"/>
                <w:sz w:val="20"/>
                <w:szCs w:val="20"/>
              </w:rPr>
            </w:pPr>
            <w:r>
              <w:rPr>
                <w:rFonts w:hint="eastAsia"/>
                <w:kern w:val="0"/>
                <w:sz w:val="20"/>
                <w:szCs w:val="20"/>
              </w:rPr>
              <w:t>　</w:t>
            </w:r>
          </w:p>
        </w:tc>
        <w:tc>
          <w:tcPr>
            <w:tcW w:w="884" w:type="dxa"/>
            <w:tcBorders>
              <w:top w:val="nil"/>
              <w:left w:val="nil"/>
              <w:bottom w:val="single" w:color="000000" w:sz="4" w:space="0"/>
              <w:right w:val="single" w:color="000000" w:sz="4" w:space="0"/>
            </w:tcBorders>
            <w:shd w:val="clear" w:color="auto" w:fill="auto"/>
            <w:noWrap/>
            <w:vAlign w:val="bottom"/>
          </w:tcPr>
          <w:p>
            <w:pPr>
              <w:widowControl/>
              <w:jc w:val="left"/>
              <w:rPr>
                <w:kern w:val="0"/>
                <w:sz w:val="20"/>
                <w:szCs w:val="20"/>
              </w:rPr>
            </w:pPr>
            <w:r>
              <w:rPr>
                <w:rFonts w:hint="eastAsia"/>
                <w:kern w:val="0"/>
                <w:sz w:val="20"/>
                <w:szCs w:val="20"/>
              </w:rPr>
              <w:t>　</w:t>
            </w:r>
          </w:p>
        </w:tc>
      </w:tr>
      <w:tr>
        <w:tblPrEx>
          <w:tblCellMar>
            <w:top w:w="0" w:type="dxa"/>
            <w:left w:w="108" w:type="dxa"/>
            <w:bottom w:w="0" w:type="dxa"/>
            <w:right w:w="108" w:type="dxa"/>
          </w:tblCellMar>
        </w:tblPrEx>
        <w:trPr>
          <w:trHeight w:val="435" w:hRule="atLeast"/>
          <w:jc w:val="center"/>
        </w:trPr>
        <w:tc>
          <w:tcPr>
            <w:tcW w:w="6946"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 xml:space="preserve">  </w:t>
            </w:r>
            <w:r>
              <w:rPr>
                <w:rFonts w:hint="eastAsia"/>
                <w:kern w:val="0"/>
                <w:sz w:val="20"/>
                <w:szCs w:val="20"/>
              </w:rPr>
              <w:t>（一）回应公众关注热点或重大舆情数（不同方式回应同一热点或舆情计</w:t>
            </w:r>
            <w:r>
              <w:rPr>
                <w:kern w:val="0"/>
                <w:sz w:val="20"/>
                <w:szCs w:val="20"/>
              </w:rPr>
              <w:t>1</w:t>
            </w:r>
            <w:r>
              <w:rPr>
                <w:rFonts w:hint="eastAsia"/>
                <w:kern w:val="0"/>
                <w:sz w:val="20"/>
                <w:szCs w:val="20"/>
              </w:rPr>
              <w:t>次）</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kern w:val="0"/>
                <w:sz w:val="20"/>
                <w:szCs w:val="20"/>
              </w:rPr>
            </w:pPr>
            <w:r>
              <w:rPr>
                <w:rFonts w:hint="eastAsia"/>
                <w:kern w:val="0"/>
                <w:sz w:val="20"/>
                <w:szCs w:val="20"/>
              </w:rPr>
              <w:t>次</w:t>
            </w:r>
          </w:p>
        </w:tc>
        <w:tc>
          <w:tcPr>
            <w:tcW w:w="884" w:type="dxa"/>
            <w:tcBorders>
              <w:top w:val="nil"/>
              <w:left w:val="nil"/>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664</w:t>
            </w:r>
          </w:p>
        </w:tc>
      </w:tr>
      <w:tr>
        <w:tblPrEx>
          <w:tblCellMar>
            <w:top w:w="0" w:type="dxa"/>
            <w:left w:w="108" w:type="dxa"/>
            <w:bottom w:w="0" w:type="dxa"/>
            <w:right w:w="108" w:type="dxa"/>
          </w:tblCellMar>
        </w:tblPrEx>
        <w:trPr>
          <w:trHeight w:val="435" w:hRule="atLeast"/>
          <w:jc w:val="center"/>
        </w:trPr>
        <w:tc>
          <w:tcPr>
            <w:tcW w:w="6946"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 xml:space="preserve">  </w:t>
            </w:r>
            <w:r>
              <w:rPr>
                <w:rFonts w:hint="eastAsia"/>
                <w:kern w:val="0"/>
                <w:sz w:val="20"/>
                <w:szCs w:val="20"/>
              </w:rPr>
              <w:t>（二）通过不同渠道和方式回应解读的情况</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kern w:val="0"/>
                <w:sz w:val="20"/>
                <w:szCs w:val="20"/>
              </w:rPr>
            </w:pPr>
            <w:r>
              <w:rPr>
                <w:rFonts w:hint="eastAsia"/>
                <w:kern w:val="0"/>
                <w:sz w:val="20"/>
                <w:szCs w:val="20"/>
              </w:rPr>
              <w:t>　</w:t>
            </w:r>
          </w:p>
        </w:tc>
        <w:tc>
          <w:tcPr>
            <w:tcW w:w="884" w:type="dxa"/>
            <w:tcBorders>
              <w:top w:val="nil"/>
              <w:left w:val="nil"/>
              <w:bottom w:val="single" w:color="000000" w:sz="4" w:space="0"/>
              <w:right w:val="single" w:color="000000" w:sz="4" w:space="0"/>
            </w:tcBorders>
            <w:shd w:val="clear" w:color="auto" w:fill="auto"/>
            <w:noWrap/>
            <w:vAlign w:val="bottom"/>
          </w:tcPr>
          <w:p>
            <w:pPr>
              <w:widowControl/>
              <w:jc w:val="left"/>
              <w:rPr>
                <w:kern w:val="0"/>
                <w:sz w:val="20"/>
                <w:szCs w:val="20"/>
              </w:rPr>
            </w:pPr>
            <w:r>
              <w:rPr>
                <w:rFonts w:hint="eastAsia"/>
                <w:kern w:val="0"/>
                <w:sz w:val="20"/>
                <w:szCs w:val="20"/>
              </w:rPr>
              <w:t>　</w:t>
            </w:r>
          </w:p>
        </w:tc>
      </w:tr>
      <w:tr>
        <w:tblPrEx>
          <w:tblCellMar>
            <w:top w:w="0" w:type="dxa"/>
            <w:left w:w="108" w:type="dxa"/>
            <w:bottom w:w="0" w:type="dxa"/>
            <w:right w:w="108" w:type="dxa"/>
          </w:tblCellMar>
        </w:tblPrEx>
        <w:trPr>
          <w:trHeight w:val="435" w:hRule="atLeast"/>
          <w:jc w:val="center"/>
        </w:trPr>
        <w:tc>
          <w:tcPr>
            <w:tcW w:w="6946"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 xml:space="preserve">     1.</w:t>
            </w:r>
            <w:r>
              <w:rPr>
                <w:rFonts w:hint="eastAsia"/>
                <w:kern w:val="0"/>
                <w:sz w:val="20"/>
                <w:szCs w:val="20"/>
              </w:rPr>
              <w:t>参加或举办新闻发布会总次数</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kern w:val="0"/>
                <w:sz w:val="20"/>
                <w:szCs w:val="20"/>
              </w:rPr>
            </w:pPr>
            <w:r>
              <w:rPr>
                <w:rFonts w:hint="eastAsia"/>
                <w:kern w:val="0"/>
                <w:sz w:val="20"/>
                <w:szCs w:val="20"/>
              </w:rPr>
              <w:t>次</w:t>
            </w:r>
          </w:p>
        </w:tc>
        <w:tc>
          <w:tcPr>
            <w:tcW w:w="884" w:type="dxa"/>
            <w:tcBorders>
              <w:top w:val="nil"/>
              <w:left w:val="nil"/>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19</w:t>
            </w:r>
          </w:p>
        </w:tc>
      </w:tr>
      <w:tr>
        <w:tblPrEx>
          <w:tblCellMar>
            <w:top w:w="0" w:type="dxa"/>
            <w:left w:w="108" w:type="dxa"/>
            <w:bottom w:w="0" w:type="dxa"/>
            <w:right w:w="108" w:type="dxa"/>
          </w:tblCellMar>
        </w:tblPrEx>
        <w:trPr>
          <w:trHeight w:val="435" w:hRule="atLeast"/>
          <w:jc w:val="center"/>
        </w:trPr>
        <w:tc>
          <w:tcPr>
            <w:tcW w:w="6946"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 xml:space="preserve">        </w:t>
            </w:r>
            <w:r>
              <w:rPr>
                <w:rFonts w:hint="eastAsia"/>
                <w:kern w:val="0"/>
                <w:sz w:val="20"/>
                <w:szCs w:val="20"/>
              </w:rPr>
              <w:t>其中：主要负责同志参加新闻发布会次数</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kern w:val="0"/>
                <w:sz w:val="20"/>
                <w:szCs w:val="20"/>
              </w:rPr>
            </w:pPr>
            <w:r>
              <w:rPr>
                <w:rFonts w:hint="eastAsia"/>
                <w:kern w:val="0"/>
                <w:sz w:val="20"/>
                <w:szCs w:val="20"/>
              </w:rPr>
              <w:t>次</w:t>
            </w:r>
          </w:p>
        </w:tc>
        <w:tc>
          <w:tcPr>
            <w:tcW w:w="884" w:type="dxa"/>
            <w:tcBorders>
              <w:top w:val="nil"/>
              <w:left w:val="nil"/>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11</w:t>
            </w:r>
          </w:p>
        </w:tc>
      </w:tr>
      <w:tr>
        <w:tblPrEx>
          <w:tblCellMar>
            <w:top w:w="0" w:type="dxa"/>
            <w:left w:w="108" w:type="dxa"/>
            <w:bottom w:w="0" w:type="dxa"/>
            <w:right w:w="108" w:type="dxa"/>
          </w:tblCellMar>
        </w:tblPrEx>
        <w:trPr>
          <w:trHeight w:val="435" w:hRule="atLeast"/>
          <w:jc w:val="center"/>
        </w:trPr>
        <w:tc>
          <w:tcPr>
            <w:tcW w:w="6946"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 xml:space="preserve">     2.</w:t>
            </w:r>
            <w:r>
              <w:rPr>
                <w:rFonts w:hint="eastAsia"/>
                <w:kern w:val="0"/>
                <w:sz w:val="20"/>
                <w:szCs w:val="20"/>
              </w:rPr>
              <w:t>政府网站在线访谈次数</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kern w:val="0"/>
                <w:sz w:val="20"/>
                <w:szCs w:val="20"/>
              </w:rPr>
            </w:pPr>
            <w:r>
              <w:rPr>
                <w:rFonts w:hint="eastAsia"/>
                <w:kern w:val="0"/>
                <w:sz w:val="20"/>
                <w:szCs w:val="20"/>
              </w:rPr>
              <w:t>次</w:t>
            </w:r>
          </w:p>
        </w:tc>
        <w:tc>
          <w:tcPr>
            <w:tcW w:w="884" w:type="dxa"/>
            <w:tcBorders>
              <w:top w:val="nil"/>
              <w:left w:val="nil"/>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19</w:t>
            </w:r>
          </w:p>
        </w:tc>
      </w:tr>
      <w:tr>
        <w:tblPrEx>
          <w:tblCellMar>
            <w:top w:w="0" w:type="dxa"/>
            <w:left w:w="108" w:type="dxa"/>
            <w:bottom w:w="0" w:type="dxa"/>
            <w:right w:w="108" w:type="dxa"/>
          </w:tblCellMar>
        </w:tblPrEx>
        <w:trPr>
          <w:trHeight w:val="435" w:hRule="atLeast"/>
          <w:jc w:val="center"/>
        </w:trPr>
        <w:tc>
          <w:tcPr>
            <w:tcW w:w="6946"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 xml:space="preserve">        </w:t>
            </w:r>
            <w:r>
              <w:rPr>
                <w:rFonts w:hint="eastAsia"/>
                <w:kern w:val="0"/>
                <w:sz w:val="20"/>
                <w:szCs w:val="20"/>
              </w:rPr>
              <w:t>其中：主要负责同志参加政府网站在线访谈次数</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kern w:val="0"/>
                <w:sz w:val="20"/>
                <w:szCs w:val="20"/>
              </w:rPr>
            </w:pPr>
            <w:r>
              <w:rPr>
                <w:rFonts w:hint="eastAsia"/>
                <w:kern w:val="0"/>
                <w:sz w:val="20"/>
                <w:szCs w:val="20"/>
              </w:rPr>
              <w:t>次</w:t>
            </w:r>
          </w:p>
        </w:tc>
        <w:tc>
          <w:tcPr>
            <w:tcW w:w="884" w:type="dxa"/>
            <w:tcBorders>
              <w:top w:val="nil"/>
              <w:left w:val="nil"/>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6</w:t>
            </w:r>
          </w:p>
        </w:tc>
      </w:tr>
      <w:tr>
        <w:tblPrEx>
          <w:tblCellMar>
            <w:top w:w="0" w:type="dxa"/>
            <w:left w:w="108" w:type="dxa"/>
            <w:bottom w:w="0" w:type="dxa"/>
            <w:right w:w="108" w:type="dxa"/>
          </w:tblCellMar>
        </w:tblPrEx>
        <w:trPr>
          <w:trHeight w:val="435" w:hRule="atLeast"/>
          <w:jc w:val="center"/>
        </w:trPr>
        <w:tc>
          <w:tcPr>
            <w:tcW w:w="6946"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 xml:space="preserve">     3.</w:t>
            </w:r>
            <w:r>
              <w:rPr>
                <w:rFonts w:hint="eastAsia"/>
                <w:kern w:val="0"/>
                <w:sz w:val="20"/>
                <w:szCs w:val="20"/>
              </w:rPr>
              <w:t>政策解读稿件发布数</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kern w:val="0"/>
                <w:sz w:val="20"/>
                <w:szCs w:val="20"/>
              </w:rPr>
            </w:pPr>
            <w:r>
              <w:rPr>
                <w:rFonts w:hint="eastAsia"/>
                <w:kern w:val="0"/>
                <w:sz w:val="20"/>
                <w:szCs w:val="20"/>
              </w:rPr>
              <w:t>篇</w:t>
            </w:r>
          </w:p>
        </w:tc>
        <w:tc>
          <w:tcPr>
            <w:tcW w:w="884" w:type="dxa"/>
            <w:tcBorders>
              <w:top w:val="nil"/>
              <w:left w:val="nil"/>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91</w:t>
            </w:r>
          </w:p>
        </w:tc>
      </w:tr>
      <w:tr>
        <w:tblPrEx>
          <w:tblCellMar>
            <w:top w:w="0" w:type="dxa"/>
            <w:left w:w="108" w:type="dxa"/>
            <w:bottom w:w="0" w:type="dxa"/>
            <w:right w:w="108" w:type="dxa"/>
          </w:tblCellMar>
        </w:tblPrEx>
        <w:trPr>
          <w:trHeight w:val="435" w:hRule="atLeast"/>
          <w:jc w:val="center"/>
        </w:trPr>
        <w:tc>
          <w:tcPr>
            <w:tcW w:w="6946"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 xml:space="preserve">     4.</w:t>
            </w:r>
            <w:r>
              <w:rPr>
                <w:rFonts w:hint="eastAsia"/>
                <w:kern w:val="0"/>
                <w:sz w:val="20"/>
                <w:szCs w:val="20"/>
              </w:rPr>
              <w:t>微博微信回应事件数</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kern w:val="0"/>
                <w:sz w:val="20"/>
                <w:szCs w:val="20"/>
              </w:rPr>
            </w:pPr>
            <w:r>
              <w:rPr>
                <w:rFonts w:hint="eastAsia"/>
                <w:kern w:val="0"/>
                <w:sz w:val="20"/>
                <w:szCs w:val="20"/>
              </w:rPr>
              <w:t>次</w:t>
            </w:r>
          </w:p>
        </w:tc>
        <w:tc>
          <w:tcPr>
            <w:tcW w:w="884" w:type="dxa"/>
            <w:tcBorders>
              <w:top w:val="nil"/>
              <w:left w:val="nil"/>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303</w:t>
            </w:r>
          </w:p>
        </w:tc>
      </w:tr>
      <w:tr>
        <w:tblPrEx>
          <w:tblCellMar>
            <w:top w:w="0" w:type="dxa"/>
            <w:left w:w="108" w:type="dxa"/>
            <w:bottom w:w="0" w:type="dxa"/>
            <w:right w:w="108" w:type="dxa"/>
          </w:tblCellMar>
        </w:tblPrEx>
        <w:trPr>
          <w:trHeight w:val="435" w:hRule="atLeast"/>
          <w:jc w:val="center"/>
        </w:trPr>
        <w:tc>
          <w:tcPr>
            <w:tcW w:w="6946"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 xml:space="preserve">     5.</w:t>
            </w:r>
            <w:r>
              <w:rPr>
                <w:rFonts w:hint="eastAsia"/>
                <w:kern w:val="0"/>
                <w:sz w:val="20"/>
                <w:szCs w:val="20"/>
              </w:rPr>
              <w:t>其他方式回应事件数</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kern w:val="0"/>
                <w:sz w:val="20"/>
                <w:szCs w:val="20"/>
              </w:rPr>
            </w:pPr>
            <w:r>
              <w:rPr>
                <w:rFonts w:hint="eastAsia"/>
                <w:kern w:val="0"/>
                <w:sz w:val="20"/>
                <w:szCs w:val="20"/>
              </w:rPr>
              <w:t>次</w:t>
            </w:r>
          </w:p>
        </w:tc>
        <w:tc>
          <w:tcPr>
            <w:tcW w:w="884" w:type="dxa"/>
            <w:tcBorders>
              <w:top w:val="nil"/>
              <w:left w:val="nil"/>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314</w:t>
            </w:r>
          </w:p>
        </w:tc>
      </w:tr>
      <w:tr>
        <w:tblPrEx>
          <w:tblCellMar>
            <w:top w:w="0" w:type="dxa"/>
            <w:left w:w="108" w:type="dxa"/>
            <w:bottom w:w="0" w:type="dxa"/>
            <w:right w:w="108" w:type="dxa"/>
          </w:tblCellMar>
        </w:tblPrEx>
        <w:trPr>
          <w:trHeight w:val="435" w:hRule="atLeast"/>
          <w:jc w:val="center"/>
        </w:trPr>
        <w:tc>
          <w:tcPr>
            <w:tcW w:w="6946"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kern w:val="0"/>
                <w:sz w:val="20"/>
                <w:szCs w:val="20"/>
              </w:rPr>
            </w:pPr>
            <w:r>
              <w:rPr>
                <w:rFonts w:hint="eastAsia"/>
                <w:kern w:val="0"/>
                <w:sz w:val="20"/>
                <w:szCs w:val="20"/>
              </w:rPr>
              <w:t>三、依申请公开情况</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kern w:val="0"/>
                <w:sz w:val="20"/>
                <w:szCs w:val="20"/>
              </w:rPr>
            </w:pPr>
            <w:r>
              <w:rPr>
                <w:rFonts w:hint="eastAsia"/>
                <w:kern w:val="0"/>
                <w:sz w:val="20"/>
                <w:szCs w:val="20"/>
              </w:rPr>
              <w:t>　</w:t>
            </w:r>
          </w:p>
        </w:tc>
        <w:tc>
          <w:tcPr>
            <w:tcW w:w="884" w:type="dxa"/>
            <w:tcBorders>
              <w:top w:val="nil"/>
              <w:left w:val="nil"/>
              <w:bottom w:val="single" w:color="000000" w:sz="4" w:space="0"/>
              <w:right w:val="single" w:color="000000" w:sz="4" w:space="0"/>
            </w:tcBorders>
            <w:shd w:val="clear" w:color="auto" w:fill="auto"/>
            <w:noWrap/>
            <w:vAlign w:val="bottom"/>
          </w:tcPr>
          <w:p>
            <w:pPr>
              <w:widowControl/>
              <w:jc w:val="left"/>
              <w:rPr>
                <w:kern w:val="0"/>
                <w:sz w:val="20"/>
                <w:szCs w:val="20"/>
              </w:rPr>
            </w:pPr>
            <w:r>
              <w:rPr>
                <w:rFonts w:hint="eastAsia"/>
                <w:kern w:val="0"/>
                <w:sz w:val="20"/>
                <w:szCs w:val="20"/>
              </w:rPr>
              <w:t>　</w:t>
            </w:r>
          </w:p>
        </w:tc>
      </w:tr>
      <w:tr>
        <w:tblPrEx>
          <w:tblCellMar>
            <w:top w:w="0" w:type="dxa"/>
            <w:left w:w="108" w:type="dxa"/>
            <w:bottom w:w="0" w:type="dxa"/>
            <w:right w:w="108" w:type="dxa"/>
          </w:tblCellMar>
        </w:tblPrEx>
        <w:trPr>
          <w:trHeight w:val="435" w:hRule="atLeast"/>
          <w:jc w:val="center"/>
        </w:trPr>
        <w:tc>
          <w:tcPr>
            <w:tcW w:w="6946"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 xml:space="preserve">  </w:t>
            </w:r>
            <w:r>
              <w:rPr>
                <w:rFonts w:hint="eastAsia"/>
                <w:kern w:val="0"/>
                <w:sz w:val="20"/>
                <w:szCs w:val="20"/>
              </w:rPr>
              <w:t>（一）收到申请数</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kern w:val="0"/>
                <w:sz w:val="20"/>
                <w:szCs w:val="20"/>
              </w:rPr>
            </w:pPr>
            <w:r>
              <w:rPr>
                <w:rFonts w:hint="eastAsia"/>
                <w:kern w:val="0"/>
                <w:sz w:val="20"/>
                <w:szCs w:val="20"/>
              </w:rPr>
              <w:t>件</w:t>
            </w:r>
          </w:p>
        </w:tc>
        <w:tc>
          <w:tcPr>
            <w:tcW w:w="884" w:type="dxa"/>
            <w:tcBorders>
              <w:top w:val="nil"/>
              <w:left w:val="nil"/>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1455</w:t>
            </w:r>
          </w:p>
        </w:tc>
      </w:tr>
      <w:tr>
        <w:tblPrEx>
          <w:tblCellMar>
            <w:top w:w="0" w:type="dxa"/>
            <w:left w:w="108" w:type="dxa"/>
            <w:bottom w:w="0" w:type="dxa"/>
            <w:right w:w="108" w:type="dxa"/>
          </w:tblCellMar>
        </w:tblPrEx>
        <w:trPr>
          <w:trHeight w:val="435" w:hRule="atLeast"/>
          <w:jc w:val="center"/>
        </w:trPr>
        <w:tc>
          <w:tcPr>
            <w:tcW w:w="6946"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 xml:space="preserve">     1.</w:t>
            </w:r>
            <w:r>
              <w:rPr>
                <w:rFonts w:hint="eastAsia"/>
                <w:kern w:val="0"/>
                <w:sz w:val="20"/>
                <w:szCs w:val="20"/>
              </w:rPr>
              <w:t>当面申请数</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kern w:val="0"/>
                <w:sz w:val="20"/>
                <w:szCs w:val="20"/>
              </w:rPr>
            </w:pPr>
            <w:r>
              <w:rPr>
                <w:rFonts w:hint="eastAsia"/>
                <w:kern w:val="0"/>
                <w:sz w:val="20"/>
                <w:szCs w:val="20"/>
              </w:rPr>
              <w:t>件</w:t>
            </w:r>
          </w:p>
        </w:tc>
        <w:tc>
          <w:tcPr>
            <w:tcW w:w="884" w:type="dxa"/>
            <w:tcBorders>
              <w:top w:val="nil"/>
              <w:left w:val="nil"/>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746</w:t>
            </w:r>
          </w:p>
        </w:tc>
      </w:tr>
      <w:tr>
        <w:tblPrEx>
          <w:tblCellMar>
            <w:top w:w="0" w:type="dxa"/>
            <w:left w:w="108" w:type="dxa"/>
            <w:bottom w:w="0" w:type="dxa"/>
            <w:right w:w="108" w:type="dxa"/>
          </w:tblCellMar>
        </w:tblPrEx>
        <w:trPr>
          <w:trHeight w:val="435" w:hRule="atLeast"/>
          <w:jc w:val="center"/>
        </w:trPr>
        <w:tc>
          <w:tcPr>
            <w:tcW w:w="6946"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 xml:space="preserve">     2.</w:t>
            </w:r>
            <w:r>
              <w:rPr>
                <w:rFonts w:hint="eastAsia"/>
                <w:kern w:val="0"/>
                <w:sz w:val="20"/>
                <w:szCs w:val="20"/>
              </w:rPr>
              <w:t>传真申请数</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kern w:val="0"/>
                <w:sz w:val="20"/>
                <w:szCs w:val="20"/>
              </w:rPr>
            </w:pPr>
            <w:r>
              <w:rPr>
                <w:rFonts w:hint="eastAsia"/>
                <w:kern w:val="0"/>
                <w:sz w:val="20"/>
                <w:szCs w:val="20"/>
              </w:rPr>
              <w:t>件</w:t>
            </w:r>
          </w:p>
        </w:tc>
        <w:tc>
          <w:tcPr>
            <w:tcW w:w="884" w:type="dxa"/>
            <w:tcBorders>
              <w:top w:val="nil"/>
              <w:left w:val="nil"/>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0</w:t>
            </w:r>
          </w:p>
        </w:tc>
      </w:tr>
      <w:tr>
        <w:tblPrEx>
          <w:tblCellMar>
            <w:top w:w="0" w:type="dxa"/>
            <w:left w:w="108" w:type="dxa"/>
            <w:bottom w:w="0" w:type="dxa"/>
            <w:right w:w="108" w:type="dxa"/>
          </w:tblCellMar>
        </w:tblPrEx>
        <w:trPr>
          <w:trHeight w:val="435" w:hRule="atLeast"/>
          <w:jc w:val="center"/>
        </w:trPr>
        <w:tc>
          <w:tcPr>
            <w:tcW w:w="6946"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 xml:space="preserve">     3.</w:t>
            </w:r>
            <w:r>
              <w:rPr>
                <w:rFonts w:hint="eastAsia"/>
                <w:kern w:val="0"/>
                <w:sz w:val="20"/>
                <w:szCs w:val="20"/>
              </w:rPr>
              <w:t>网络申请数</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kern w:val="0"/>
                <w:sz w:val="20"/>
                <w:szCs w:val="20"/>
              </w:rPr>
            </w:pPr>
            <w:r>
              <w:rPr>
                <w:rFonts w:hint="eastAsia"/>
                <w:kern w:val="0"/>
                <w:sz w:val="20"/>
                <w:szCs w:val="20"/>
              </w:rPr>
              <w:t>件</w:t>
            </w:r>
          </w:p>
        </w:tc>
        <w:tc>
          <w:tcPr>
            <w:tcW w:w="884" w:type="dxa"/>
            <w:tcBorders>
              <w:top w:val="nil"/>
              <w:left w:val="nil"/>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207</w:t>
            </w:r>
          </w:p>
        </w:tc>
      </w:tr>
      <w:tr>
        <w:tblPrEx>
          <w:tblCellMar>
            <w:top w:w="0" w:type="dxa"/>
            <w:left w:w="108" w:type="dxa"/>
            <w:bottom w:w="0" w:type="dxa"/>
            <w:right w:w="108" w:type="dxa"/>
          </w:tblCellMar>
        </w:tblPrEx>
        <w:trPr>
          <w:trHeight w:val="435" w:hRule="atLeast"/>
          <w:jc w:val="center"/>
        </w:trPr>
        <w:tc>
          <w:tcPr>
            <w:tcW w:w="6946"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 xml:space="preserve">     4.</w:t>
            </w:r>
            <w:r>
              <w:rPr>
                <w:rFonts w:hint="eastAsia"/>
                <w:kern w:val="0"/>
                <w:sz w:val="20"/>
                <w:szCs w:val="20"/>
              </w:rPr>
              <w:t>信函申请数</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kern w:val="0"/>
                <w:sz w:val="20"/>
                <w:szCs w:val="20"/>
              </w:rPr>
            </w:pPr>
            <w:r>
              <w:rPr>
                <w:rFonts w:hint="eastAsia"/>
                <w:kern w:val="0"/>
                <w:sz w:val="20"/>
                <w:szCs w:val="20"/>
              </w:rPr>
              <w:t>件</w:t>
            </w:r>
          </w:p>
        </w:tc>
        <w:tc>
          <w:tcPr>
            <w:tcW w:w="884" w:type="dxa"/>
            <w:tcBorders>
              <w:top w:val="nil"/>
              <w:left w:val="nil"/>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502</w:t>
            </w:r>
          </w:p>
        </w:tc>
      </w:tr>
      <w:tr>
        <w:tblPrEx>
          <w:tblCellMar>
            <w:top w:w="0" w:type="dxa"/>
            <w:left w:w="108" w:type="dxa"/>
            <w:bottom w:w="0" w:type="dxa"/>
            <w:right w:w="108" w:type="dxa"/>
          </w:tblCellMar>
        </w:tblPrEx>
        <w:trPr>
          <w:trHeight w:val="435" w:hRule="atLeast"/>
          <w:jc w:val="center"/>
        </w:trPr>
        <w:tc>
          <w:tcPr>
            <w:tcW w:w="6946"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 xml:space="preserve">  </w:t>
            </w:r>
            <w:r>
              <w:rPr>
                <w:rFonts w:hint="eastAsia"/>
                <w:kern w:val="0"/>
                <w:sz w:val="20"/>
                <w:szCs w:val="20"/>
              </w:rPr>
              <w:t>（二）申请办结数</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kern w:val="0"/>
                <w:sz w:val="20"/>
                <w:szCs w:val="20"/>
              </w:rPr>
            </w:pPr>
            <w:r>
              <w:rPr>
                <w:rFonts w:hint="eastAsia"/>
                <w:kern w:val="0"/>
                <w:sz w:val="20"/>
                <w:szCs w:val="20"/>
              </w:rPr>
              <w:t>件</w:t>
            </w:r>
          </w:p>
        </w:tc>
        <w:tc>
          <w:tcPr>
            <w:tcW w:w="884" w:type="dxa"/>
            <w:tcBorders>
              <w:top w:val="nil"/>
              <w:left w:val="nil"/>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1135</w:t>
            </w:r>
          </w:p>
        </w:tc>
      </w:tr>
      <w:tr>
        <w:tblPrEx>
          <w:tblCellMar>
            <w:top w:w="0" w:type="dxa"/>
            <w:left w:w="108" w:type="dxa"/>
            <w:bottom w:w="0" w:type="dxa"/>
            <w:right w:w="108" w:type="dxa"/>
          </w:tblCellMar>
        </w:tblPrEx>
        <w:trPr>
          <w:trHeight w:val="435" w:hRule="atLeast"/>
          <w:jc w:val="center"/>
        </w:trPr>
        <w:tc>
          <w:tcPr>
            <w:tcW w:w="6946"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 xml:space="preserve">     1.</w:t>
            </w:r>
            <w:r>
              <w:rPr>
                <w:rFonts w:hint="eastAsia"/>
                <w:kern w:val="0"/>
                <w:sz w:val="20"/>
                <w:szCs w:val="20"/>
              </w:rPr>
              <w:t>按时办结数</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kern w:val="0"/>
                <w:sz w:val="20"/>
                <w:szCs w:val="20"/>
              </w:rPr>
            </w:pPr>
            <w:r>
              <w:rPr>
                <w:rFonts w:hint="eastAsia"/>
                <w:kern w:val="0"/>
                <w:sz w:val="20"/>
                <w:szCs w:val="20"/>
              </w:rPr>
              <w:t>件</w:t>
            </w:r>
          </w:p>
        </w:tc>
        <w:tc>
          <w:tcPr>
            <w:tcW w:w="884" w:type="dxa"/>
            <w:tcBorders>
              <w:top w:val="nil"/>
              <w:left w:val="nil"/>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971</w:t>
            </w:r>
          </w:p>
        </w:tc>
      </w:tr>
      <w:tr>
        <w:tblPrEx>
          <w:tblCellMar>
            <w:top w:w="0" w:type="dxa"/>
            <w:left w:w="108" w:type="dxa"/>
            <w:bottom w:w="0" w:type="dxa"/>
            <w:right w:w="108" w:type="dxa"/>
          </w:tblCellMar>
        </w:tblPrEx>
        <w:trPr>
          <w:trHeight w:val="435" w:hRule="atLeast"/>
          <w:jc w:val="center"/>
        </w:trPr>
        <w:tc>
          <w:tcPr>
            <w:tcW w:w="6946"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 xml:space="preserve">     2.</w:t>
            </w:r>
            <w:r>
              <w:rPr>
                <w:rFonts w:hint="eastAsia"/>
                <w:kern w:val="0"/>
                <w:sz w:val="20"/>
                <w:szCs w:val="20"/>
              </w:rPr>
              <w:t>延期办结数</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kern w:val="0"/>
                <w:sz w:val="20"/>
                <w:szCs w:val="20"/>
              </w:rPr>
            </w:pPr>
            <w:r>
              <w:rPr>
                <w:rFonts w:hint="eastAsia"/>
                <w:kern w:val="0"/>
                <w:sz w:val="20"/>
                <w:szCs w:val="20"/>
              </w:rPr>
              <w:t>件</w:t>
            </w:r>
          </w:p>
        </w:tc>
        <w:tc>
          <w:tcPr>
            <w:tcW w:w="884" w:type="dxa"/>
            <w:tcBorders>
              <w:top w:val="nil"/>
              <w:left w:val="nil"/>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164</w:t>
            </w:r>
          </w:p>
        </w:tc>
      </w:tr>
      <w:tr>
        <w:tblPrEx>
          <w:tblCellMar>
            <w:top w:w="0" w:type="dxa"/>
            <w:left w:w="108" w:type="dxa"/>
            <w:bottom w:w="0" w:type="dxa"/>
            <w:right w:w="108" w:type="dxa"/>
          </w:tblCellMar>
        </w:tblPrEx>
        <w:trPr>
          <w:trHeight w:val="435" w:hRule="atLeast"/>
          <w:jc w:val="center"/>
        </w:trPr>
        <w:tc>
          <w:tcPr>
            <w:tcW w:w="6946"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 xml:space="preserve">  </w:t>
            </w:r>
            <w:r>
              <w:rPr>
                <w:rFonts w:hint="eastAsia"/>
                <w:kern w:val="0"/>
                <w:sz w:val="20"/>
                <w:szCs w:val="20"/>
              </w:rPr>
              <w:t>（三）申请答复数</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kern w:val="0"/>
                <w:sz w:val="20"/>
                <w:szCs w:val="20"/>
              </w:rPr>
            </w:pPr>
            <w:r>
              <w:rPr>
                <w:rFonts w:hint="eastAsia"/>
                <w:kern w:val="0"/>
                <w:sz w:val="20"/>
                <w:szCs w:val="20"/>
              </w:rPr>
              <w:t>件</w:t>
            </w:r>
          </w:p>
        </w:tc>
        <w:tc>
          <w:tcPr>
            <w:tcW w:w="884" w:type="dxa"/>
            <w:tcBorders>
              <w:top w:val="nil"/>
              <w:left w:val="nil"/>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1135</w:t>
            </w:r>
          </w:p>
        </w:tc>
      </w:tr>
      <w:tr>
        <w:tblPrEx>
          <w:tblCellMar>
            <w:top w:w="0" w:type="dxa"/>
            <w:left w:w="108" w:type="dxa"/>
            <w:bottom w:w="0" w:type="dxa"/>
            <w:right w:w="108" w:type="dxa"/>
          </w:tblCellMar>
        </w:tblPrEx>
        <w:trPr>
          <w:trHeight w:val="435" w:hRule="atLeast"/>
          <w:jc w:val="center"/>
        </w:trPr>
        <w:tc>
          <w:tcPr>
            <w:tcW w:w="6946"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 xml:space="preserve">     1.</w:t>
            </w:r>
            <w:r>
              <w:rPr>
                <w:rFonts w:hint="eastAsia"/>
                <w:kern w:val="0"/>
                <w:sz w:val="20"/>
                <w:szCs w:val="20"/>
              </w:rPr>
              <w:t>属于已主动公开范围数</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kern w:val="0"/>
                <w:sz w:val="20"/>
                <w:szCs w:val="20"/>
              </w:rPr>
            </w:pPr>
            <w:r>
              <w:rPr>
                <w:rFonts w:hint="eastAsia"/>
                <w:kern w:val="0"/>
                <w:sz w:val="20"/>
                <w:szCs w:val="20"/>
              </w:rPr>
              <w:t>件</w:t>
            </w:r>
          </w:p>
        </w:tc>
        <w:tc>
          <w:tcPr>
            <w:tcW w:w="884" w:type="dxa"/>
            <w:tcBorders>
              <w:top w:val="nil"/>
              <w:left w:val="nil"/>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69</w:t>
            </w:r>
          </w:p>
        </w:tc>
      </w:tr>
      <w:tr>
        <w:tblPrEx>
          <w:tblCellMar>
            <w:top w:w="0" w:type="dxa"/>
            <w:left w:w="108" w:type="dxa"/>
            <w:bottom w:w="0" w:type="dxa"/>
            <w:right w:w="108" w:type="dxa"/>
          </w:tblCellMar>
        </w:tblPrEx>
        <w:trPr>
          <w:trHeight w:val="435" w:hRule="atLeast"/>
          <w:jc w:val="center"/>
        </w:trPr>
        <w:tc>
          <w:tcPr>
            <w:tcW w:w="6946"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 xml:space="preserve">     2.</w:t>
            </w:r>
            <w:r>
              <w:rPr>
                <w:rFonts w:hint="eastAsia"/>
                <w:kern w:val="0"/>
                <w:sz w:val="20"/>
                <w:szCs w:val="20"/>
              </w:rPr>
              <w:t>同意公开答复数</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kern w:val="0"/>
                <w:sz w:val="20"/>
                <w:szCs w:val="20"/>
              </w:rPr>
            </w:pPr>
            <w:r>
              <w:rPr>
                <w:rFonts w:hint="eastAsia"/>
                <w:kern w:val="0"/>
                <w:sz w:val="20"/>
                <w:szCs w:val="20"/>
              </w:rPr>
              <w:t>件</w:t>
            </w:r>
          </w:p>
        </w:tc>
        <w:tc>
          <w:tcPr>
            <w:tcW w:w="884" w:type="dxa"/>
            <w:tcBorders>
              <w:top w:val="nil"/>
              <w:left w:val="nil"/>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394</w:t>
            </w:r>
          </w:p>
        </w:tc>
      </w:tr>
      <w:tr>
        <w:tblPrEx>
          <w:tblCellMar>
            <w:top w:w="0" w:type="dxa"/>
            <w:left w:w="108" w:type="dxa"/>
            <w:bottom w:w="0" w:type="dxa"/>
            <w:right w:w="108" w:type="dxa"/>
          </w:tblCellMar>
        </w:tblPrEx>
        <w:trPr>
          <w:trHeight w:val="435" w:hRule="atLeast"/>
          <w:jc w:val="center"/>
        </w:trPr>
        <w:tc>
          <w:tcPr>
            <w:tcW w:w="6946"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 xml:space="preserve">     3.</w:t>
            </w:r>
            <w:r>
              <w:rPr>
                <w:rFonts w:hint="eastAsia"/>
                <w:kern w:val="0"/>
                <w:sz w:val="20"/>
                <w:szCs w:val="20"/>
              </w:rPr>
              <w:t>同意部分公开答复数</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kern w:val="0"/>
                <w:sz w:val="20"/>
                <w:szCs w:val="20"/>
              </w:rPr>
            </w:pPr>
            <w:r>
              <w:rPr>
                <w:rFonts w:hint="eastAsia"/>
                <w:kern w:val="0"/>
                <w:sz w:val="20"/>
                <w:szCs w:val="20"/>
              </w:rPr>
              <w:t>件</w:t>
            </w:r>
          </w:p>
        </w:tc>
        <w:tc>
          <w:tcPr>
            <w:tcW w:w="884" w:type="dxa"/>
            <w:tcBorders>
              <w:top w:val="nil"/>
              <w:left w:val="nil"/>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16</w:t>
            </w:r>
          </w:p>
        </w:tc>
      </w:tr>
      <w:tr>
        <w:tblPrEx>
          <w:tblCellMar>
            <w:top w:w="0" w:type="dxa"/>
            <w:left w:w="108" w:type="dxa"/>
            <w:bottom w:w="0" w:type="dxa"/>
            <w:right w:w="108" w:type="dxa"/>
          </w:tblCellMar>
        </w:tblPrEx>
        <w:trPr>
          <w:trHeight w:val="435" w:hRule="atLeast"/>
          <w:jc w:val="center"/>
        </w:trPr>
        <w:tc>
          <w:tcPr>
            <w:tcW w:w="6946"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 xml:space="preserve">     4.</w:t>
            </w:r>
            <w:r>
              <w:rPr>
                <w:rFonts w:hint="eastAsia"/>
                <w:kern w:val="0"/>
                <w:sz w:val="20"/>
                <w:szCs w:val="20"/>
              </w:rPr>
              <w:t>不同意公开答复数</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kern w:val="0"/>
                <w:sz w:val="20"/>
                <w:szCs w:val="20"/>
              </w:rPr>
            </w:pPr>
            <w:r>
              <w:rPr>
                <w:rFonts w:hint="eastAsia"/>
                <w:kern w:val="0"/>
                <w:sz w:val="20"/>
                <w:szCs w:val="20"/>
              </w:rPr>
              <w:t>件</w:t>
            </w:r>
          </w:p>
        </w:tc>
        <w:tc>
          <w:tcPr>
            <w:tcW w:w="884" w:type="dxa"/>
            <w:tcBorders>
              <w:top w:val="nil"/>
              <w:left w:val="nil"/>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57</w:t>
            </w:r>
          </w:p>
        </w:tc>
      </w:tr>
      <w:tr>
        <w:tblPrEx>
          <w:tblCellMar>
            <w:top w:w="0" w:type="dxa"/>
            <w:left w:w="108" w:type="dxa"/>
            <w:bottom w:w="0" w:type="dxa"/>
            <w:right w:w="108" w:type="dxa"/>
          </w:tblCellMar>
        </w:tblPrEx>
        <w:trPr>
          <w:trHeight w:val="435" w:hRule="atLeast"/>
          <w:jc w:val="center"/>
        </w:trPr>
        <w:tc>
          <w:tcPr>
            <w:tcW w:w="6946"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 xml:space="preserve">        </w:t>
            </w:r>
            <w:r>
              <w:rPr>
                <w:rFonts w:hint="eastAsia"/>
                <w:kern w:val="0"/>
                <w:sz w:val="20"/>
                <w:szCs w:val="20"/>
              </w:rPr>
              <w:t>其中：涉及国家秘密</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kern w:val="0"/>
                <w:sz w:val="20"/>
                <w:szCs w:val="20"/>
              </w:rPr>
            </w:pPr>
            <w:r>
              <w:rPr>
                <w:rFonts w:hint="eastAsia"/>
                <w:kern w:val="0"/>
                <w:sz w:val="20"/>
                <w:szCs w:val="20"/>
              </w:rPr>
              <w:t>件</w:t>
            </w:r>
          </w:p>
        </w:tc>
        <w:tc>
          <w:tcPr>
            <w:tcW w:w="884" w:type="dxa"/>
            <w:tcBorders>
              <w:top w:val="nil"/>
              <w:left w:val="nil"/>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4</w:t>
            </w:r>
          </w:p>
        </w:tc>
      </w:tr>
      <w:tr>
        <w:tblPrEx>
          <w:tblCellMar>
            <w:top w:w="0" w:type="dxa"/>
            <w:left w:w="108" w:type="dxa"/>
            <w:bottom w:w="0" w:type="dxa"/>
            <w:right w:w="108" w:type="dxa"/>
          </w:tblCellMar>
        </w:tblPrEx>
        <w:trPr>
          <w:trHeight w:val="435" w:hRule="atLeast"/>
          <w:jc w:val="center"/>
        </w:trPr>
        <w:tc>
          <w:tcPr>
            <w:tcW w:w="6946"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 xml:space="preserve">        </w:t>
            </w:r>
            <w:r>
              <w:rPr>
                <w:rFonts w:hint="eastAsia"/>
                <w:kern w:val="0"/>
                <w:sz w:val="20"/>
                <w:szCs w:val="20"/>
              </w:rPr>
              <w:t>涉及商业秘密</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kern w:val="0"/>
                <w:sz w:val="20"/>
                <w:szCs w:val="20"/>
              </w:rPr>
            </w:pPr>
            <w:r>
              <w:rPr>
                <w:rFonts w:hint="eastAsia"/>
                <w:kern w:val="0"/>
                <w:sz w:val="20"/>
                <w:szCs w:val="20"/>
              </w:rPr>
              <w:t>件</w:t>
            </w:r>
          </w:p>
        </w:tc>
        <w:tc>
          <w:tcPr>
            <w:tcW w:w="884" w:type="dxa"/>
            <w:tcBorders>
              <w:top w:val="nil"/>
              <w:left w:val="nil"/>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1</w:t>
            </w:r>
          </w:p>
        </w:tc>
      </w:tr>
      <w:tr>
        <w:tblPrEx>
          <w:tblCellMar>
            <w:top w:w="0" w:type="dxa"/>
            <w:left w:w="108" w:type="dxa"/>
            <w:bottom w:w="0" w:type="dxa"/>
            <w:right w:w="108" w:type="dxa"/>
          </w:tblCellMar>
        </w:tblPrEx>
        <w:trPr>
          <w:trHeight w:val="435" w:hRule="atLeast"/>
          <w:jc w:val="center"/>
        </w:trPr>
        <w:tc>
          <w:tcPr>
            <w:tcW w:w="6946"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 xml:space="preserve">        </w:t>
            </w:r>
            <w:r>
              <w:rPr>
                <w:rFonts w:hint="eastAsia"/>
                <w:kern w:val="0"/>
                <w:sz w:val="20"/>
                <w:szCs w:val="20"/>
              </w:rPr>
              <w:t>涉及个人隐私</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kern w:val="0"/>
                <w:sz w:val="20"/>
                <w:szCs w:val="20"/>
              </w:rPr>
            </w:pPr>
            <w:r>
              <w:rPr>
                <w:rFonts w:hint="eastAsia"/>
                <w:kern w:val="0"/>
                <w:sz w:val="20"/>
                <w:szCs w:val="20"/>
              </w:rPr>
              <w:t>件</w:t>
            </w:r>
          </w:p>
        </w:tc>
        <w:tc>
          <w:tcPr>
            <w:tcW w:w="884" w:type="dxa"/>
            <w:tcBorders>
              <w:top w:val="nil"/>
              <w:left w:val="nil"/>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0</w:t>
            </w:r>
          </w:p>
        </w:tc>
      </w:tr>
      <w:tr>
        <w:tblPrEx>
          <w:tblCellMar>
            <w:top w:w="0" w:type="dxa"/>
            <w:left w:w="108" w:type="dxa"/>
            <w:bottom w:w="0" w:type="dxa"/>
            <w:right w:w="108" w:type="dxa"/>
          </w:tblCellMar>
        </w:tblPrEx>
        <w:trPr>
          <w:trHeight w:val="435" w:hRule="atLeast"/>
          <w:jc w:val="center"/>
        </w:trPr>
        <w:tc>
          <w:tcPr>
            <w:tcW w:w="6946"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 xml:space="preserve">        </w:t>
            </w:r>
            <w:r>
              <w:rPr>
                <w:rFonts w:hint="eastAsia"/>
                <w:kern w:val="0"/>
                <w:sz w:val="20"/>
                <w:szCs w:val="20"/>
              </w:rPr>
              <w:t>危及国家安全、公共安全、经济安全和社会稳定</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kern w:val="0"/>
                <w:sz w:val="20"/>
                <w:szCs w:val="20"/>
              </w:rPr>
            </w:pPr>
            <w:r>
              <w:rPr>
                <w:rFonts w:hint="eastAsia"/>
                <w:kern w:val="0"/>
                <w:sz w:val="20"/>
                <w:szCs w:val="20"/>
              </w:rPr>
              <w:t>件</w:t>
            </w:r>
          </w:p>
        </w:tc>
        <w:tc>
          <w:tcPr>
            <w:tcW w:w="884" w:type="dxa"/>
            <w:tcBorders>
              <w:top w:val="nil"/>
              <w:left w:val="nil"/>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0</w:t>
            </w:r>
          </w:p>
        </w:tc>
      </w:tr>
      <w:tr>
        <w:tblPrEx>
          <w:tblCellMar>
            <w:top w:w="0" w:type="dxa"/>
            <w:left w:w="108" w:type="dxa"/>
            <w:bottom w:w="0" w:type="dxa"/>
            <w:right w:w="108" w:type="dxa"/>
          </w:tblCellMar>
        </w:tblPrEx>
        <w:trPr>
          <w:trHeight w:val="435" w:hRule="atLeast"/>
          <w:jc w:val="center"/>
        </w:trPr>
        <w:tc>
          <w:tcPr>
            <w:tcW w:w="6946"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 xml:space="preserve">        </w:t>
            </w:r>
            <w:r>
              <w:rPr>
                <w:rFonts w:hint="eastAsia"/>
                <w:kern w:val="0"/>
                <w:sz w:val="20"/>
                <w:szCs w:val="20"/>
              </w:rPr>
              <w:t>不是《条例》所指政府信息</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kern w:val="0"/>
                <w:sz w:val="20"/>
                <w:szCs w:val="20"/>
              </w:rPr>
            </w:pPr>
            <w:r>
              <w:rPr>
                <w:rFonts w:hint="eastAsia"/>
                <w:kern w:val="0"/>
                <w:sz w:val="20"/>
                <w:szCs w:val="20"/>
              </w:rPr>
              <w:t>件</w:t>
            </w:r>
          </w:p>
        </w:tc>
        <w:tc>
          <w:tcPr>
            <w:tcW w:w="884" w:type="dxa"/>
            <w:tcBorders>
              <w:top w:val="nil"/>
              <w:left w:val="nil"/>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52</w:t>
            </w:r>
          </w:p>
        </w:tc>
      </w:tr>
      <w:tr>
        <w:tblPrEx>
          <w:tblCellMar>
            <w:top w:w="0" w:type="dxa"/>
            <w:left w:w="108" w:type="dxa"/>
            <w:bottom w:w="0" w:type="dxa"/>
            <w:right w:w="108" w:type="dxa"/>
          </w:tblCellMar>
        </w:tblPrEx>
        <w:trPr>
          <w:trHeight w:val="435" w:hRule="atLeast"/>
          <w:jc w:val="center"/>
        </w:trPr>
        <w:tc>
          <w:tcPr>
            <w:tcW w:w="6946"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 xml:space="preserve">        </w:t>
            </w:r>
            <w:r>
              <w:rPr>
                <w:rFonts w:hint="eastAsia"/>
                <w:kern w:val="0"/>
                <w:sz w:val="20"/>
                <w:szCs w:val="20"/>
              </w:rPr>
              <w:t>法律法规规定的其他情形</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kern w:val="0"/>
                <w:sz w:val="20"/>
                <w:szCs w:val="20"/>
              </w:rPr>
            </w:pPr>
            <w:r>
              <w:rPr>
                <w:rFonts w:hint="eastAsia"/>
                <w:kern w:val="0"/>
                <w:sz w:val="20"/>
                <w:szCs w:val="20"/>
              </w:rPr>
              <w:t>件</w:t>
            </w:r>
          </w:p>
        </w:tc>
        <w:tc>
          <w:tcPr>
            <w:tcW w:w="884" w:type="dxa"/>
            <w:tcBorders>
              <w:top w:val="nil"/>
              <w:left w:val="nil"/>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0</w:t>
            </w:r>
          </w:p>
        </w:tc>
      </w:tr>
      <w:tr>
        <w:tblPrEx>
          <w:tblCellMar>
            <w:top w:w="0" w:type="dxa"/>
            <w:left w:w="108" w:type="dxa"/>
            <w:bottom w:w="0" w:type="dxa"/>
            <w:right w:w="108" w:type="dxa"/>
          </w:tblCellMar>
        </w:tblPrEx>
        <w:trPr>
          <w:trHeight w:val="435" w:hRule="atLeast"/>
          <w:jc w:val="center"/>
        </w:trPr>
        <w:tc>
          <w:tcPr>
            <w:tcW w:w="6946"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 xml:space="preserve">     5.</w:t>
            </w:r>
            <w:r>
              <w:rPr>
                <w:rFonts w:hint="eastAsia"/>
                <w:kern w:val="0"/>
                <w:sz w:val="20"/>
                <w:szCs w:val="20"/>
              </w:rPr>
              <w:t>不属于本行政机关公开数</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kern w:val="0"/>
                <w:sz w:val="20"/>
                <w:szCs w:val="20"/>
              </w:rPr>
            </w:pPr>
            <w:r>
              <w:rPr>
                <w:rFonts w:hint="eastAsia"/>
                <w:kern w:val="0"/>
                <w:sz w:val="20"/>
                <w:szCs w:val="20"/>
              </w:rPr>
              <w:t>件</w:t>
            </w:r>
          </w:p>
        </w:tc>
        <w:tc>
          <w:tcPr>
            <w:tcW w:w="884" w:type="dxa"/>
            <w:tcBorders>
              <w:top w:val="nil"/>
              <w:left w:val="nil"/>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120</w:t>
            </w:r>
          </w:p>
        </w:tc>
      </w:tr>
      <w:tr>
        <w:tblPrEx>
          <w:tblCellMar>
            <w:top w:w="0" w:type="dxa"/>
            <w:left w:w="108" w:type="dxa"/>
            <w:bottom w:w="0" w:type="dxa"/>
            <w:right w:w="108" w:type="dxa"/>
          </w:tblCellMar>
        </w:tblPrEx>
        <w:trPr>
          <w:trHeight w:val="435" w:hRule="atLeast"/>
          <w:jc w:val="center"/>
        </w:trPr>
        <w:tc>
          <w:tcPr>
            <w:tcW w:w="6946"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 xml:space="preserve">     6.</w:t>
            </w:r>
            <w:r>
              <w:rPr>
                <w:rFonts w:hint="eastAsia"/>
                <w:kern w:val="0"/>
                <w:sz w:val="20"/>
                <w:szCs w:val="20"/>
              </w:rPr>
              <w:t>申请信息不存在数</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kern w:val="0"/>
                <w:sz w:val="20"/>
                <w:szCs w:val="20"/>
              </w:rPr>
            </w:pPr>
            <w:r>
              <w:rPr>
                <w:rFonts w:hint="eastAsia"/>
                <w:kern w:val="0"/>
                <w:sz w:val="20"/>
                <w:szCs w:val="20"/>
              </w:rPr>
              <w:t>件</w:t>
            </w:r>
          </w:p>
        </w:tc>
        <w:tc>
          <w:tcPr>
            <w:tcW w:w="884" w:type="dxa"/>
            <w:tcBorders>
              <w:top w:val="nil"/>
              <w:left w:val="nil"/>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454</w:t>
            </w:r>
          </w:p>
        </w:tc>
      </w:tr>
      <w:tr>
        <w:tblPrEx>
          <w:tblCellMar>
            <w:top w:w="0" w:type="dxa"/>
            <w:left w:w="108" w:type="dxa"/>
            <w:bottom w:w="0" w:type="dxa"/>
            <w:right w:w="108" w:type="dxa"/>
          </w:tblCellMar>
        </w:tblPrEx>
        <w:trPr>
          <w:trHeight w:val="435" w:hRule="atLeast"/>
          <w:jc w:val="center"/>
        </w:trPr>
        <w:tc>
          <w:tcPr>
            <w:tcW w:w="6946"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 xml:space="preserve">     7.</w:t>
            </w:r>
            <w:r>
              <w:rPr>
                <w:rFonts w:hint="eastAsia"/>
                <w:kern w:val="0"/>
                <w:sz w:val="20"/>
                <w:szCs w:val="20"/>
              </w:rPr>
              <w:t>告知作出更改补充数</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kern w:val="0"/>
                <w:sz w:val="20"/>
                <w:szCs w:val="20"/>
              </w:rPr>
            </w:pPr>
            <w:r>
              <w:rPr>
                <w:rFonts w:hint="eastAsia"/>
                <w:kern w:val="0"/>
                <w:sz w:val="20"/>
                <w:szCs w:val="20"/>
              </w:rPr>
              <w:t>件</w:t>
            </w:r>
          </w:p>
        </w:tc>
        <w:tc>
          <w:tcPr>
            <w:tcW w:w="884" w:type="dxa"/>
            <w:tcBorders>
              <w:top w:val="nil"/>
              <w:left w:val="nil"/>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24</w:t>
            </w:r>
          </w:p>
        </w:tc>
      </w:tr>
      <w:tr>
        <w:tblPrEx>
          <w:tblCellMar>
            <w:top w:w="0" w:type="dxa"/>
            <w:left w:w="108" w:type="dxa"/>
            <w:bottom w:w="0" w:type="dxa"/>
            <w:right w:w="108" w:type="dxa"/>
          </w:tblCellMar>
        </w:tblPrEx>
        <w:trPr>
          <w:trHeight w:val="435" w:hRule="atLeast"/>
          <w:jc w:val="center"/>
        </w:trPr>
        <w:tc>
          <w:tcPr>
            <w:tcW w:w="6946"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 xml:space="preserve">     8.</w:t>
            </w:r>
            <w:r>
              <w:rPr>
                <w:rFonts w:hint="eastAsia"/>
                <w:kern w:val="0"/>
                <w:sz w:val="20"/>
                <w:szCs w:val="20"/>
              </w:rPr>
              <w:t>告知通过其他途径办理数</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kern w:val="0"/>
                <w:sz w:val="20"/>
                <w:szCs w:val="20"/>
              </w:rPr>
            </w:pPr>
            <w:r>
              <w:rPr>
                <w:rFonts w:hint="eastAsia"/>
                <w:kern w:val="0"/>
                <w:sz w:val="20"/>
                <w:szCs w:val="20"/>
              </w:rPr>
              <w:t>件</w:t>
            </w:r>
          </w:p>
        </w:tc>
        <w:tc>
          <w:tcPr>
            <w:tcW w:w="884" w:type="dxa"/>
            <w:tcBorders>
              <w:top w:val="nil"/>
              <w:left w:val="nil"/>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1</w:t>
            </w:r>
          </w:p>
        </w:tc>
      </w:tr>
      <w:tr>
        <w:tblPrEx>
          <w:tblCellMar>
            <w:top w:w="0" w:type="dxa"/>
            <w:left w:w="108" w:type="dxa"/>
            <w:bottom w:w="0" w:type="dxa"/>
            <w:right w:w="108" w:type="dxa"/>
          </w:tblCellMar>
        </w:tblPrEx>
        <w:trPr>
          <w:trHeight w:val="435" w:hRule="atLeast"/>
          <w:jc w:val="center"/>
        </w:trPr>
        <w:tc>
          <w:tcPr>
            <w:tcW w:w="6946"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kern w:val="0"/>
                <w:sz w:val="20"/>
                <w:szCs w:val="20"/>
              </w:rPr>
            </w:pPr>
            <w:r>
              <w:rPr>
                <w:rFonts w:hint="eastAsia"/>
                <w:kern w:val="0"/>
                <w:sz w:val="20"/>
                <w:szCs w:val="20"/>
              </w:rPr>
              <w:t>四、行政复议数量</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kern w:val="0"/>
                <w:sz w:val="20"/>
                <w:szCs w:val="20"/>
              </w:rPr>
            </w:pPr>
            <w:r>
              <w:rPr>
                <w:rFonts w:hint="eastAsia"/>
                <w:kern w:val="0"/>
                <w:sz w:val="20"/>
                <w:szCs w:val="20"/>
              </w:rPr>
              <w:t>件</w:t>
            </w:r>
          </w:p>
        </w:tc>
        <w:tc>
          <w:tcPr>
            <w:tcW w:w="884" w:type="dxa"/>
            <w:tcBorders>
              <w:top w:val="nil"/>
              <w:left w:val="nil"/>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63</w:t>
            </w:r>
          </w:p>
        </w:tc>
      </w:tr>
      <w:tr>
        <w:tblPrEx>
          <w:tblCellMar>
            <w:top w:w="0" w:type="dxa"/>
            <w:left w:w="108" w:type="dxa"/>
            <w:bottom w:w="0" w:type="dxa"/>
            <w:right w:w="108" w:type="dxa"/>
          </w:tblCellMar>
        </w:tblPrEx>
        <w:trPr>
          <w:trHeight w:val="435" w:hRule="atLeast"/>
          <w:jc w:val="center"/>
        </w:trPr>
        <w:tc>
          <w:tcPr>
            <w:tcW w:w="6946"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 xml:space="preserve">  </w:t>
            </w:r>
            <w:r>
              <w:rPr>
                <w:rFonts w:hint="eastAsia"/>
                <w:kern w:val="0"/>
                <w:sz w:val="20"/>
                <w:szCs w:val="20"/>
              </w:rPr>
              <w:t>（一）维持具体行政行为数</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kern w:val="0"/>
                <w:sz w:val="20"/>
                <w:szCs w:val="20"/>
              </w:rPr>
            </w:pPr>
            <w:r>
              <w:rPr>
                <w:rFonts w:hint="eastAsia"/>
                <w:kern w:val="0"/>
                <w:sz w:val="20"/>
                <w:szCs w:val="20"/>
              </w:rPr>
              <w:t>件</w:t>
            </w:r>
          </w:p>
        </w:tc>
        <w:tc>
          <w:tcPr>
            <w:tcW w:w="884" w:type="dxa"/>
            <w:tcBorders>
              <w:top w:val="nil"/>
              <w:left w:val="nil"/>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44</w:t>
            </w:r>
          </w:p>
        </w:tc>
      </w:tr>
      <w:tr>
        <w:tblPrEx>
          <w:tblCellMar>
            <w:top w:w="0" w:type="dxa"/>
            <w:left w:w="108" w:type="dxa"/>
            <w:bottom w:w="0" w:type="dxa"/>
            <w:right w:w="108" w:type="dxa"/>
          </w:tblCellMar>
        </w:tblPrEx>
        <w:trPr>
          <w:trHeight w:val="435" w:hRule="atLeast"/>
          <w:jc w:val="center"/>
        </w:trPr>
        <w:tc>
          <w:tcPr>
            <w:tcW w:w="6946"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 xml:space="preserve">  </w:t>
            </w:r>
            <w:r>
              <w:rPr>
                <w:rFonts w:hint="eastAsia"/>
                <w:kern w:val="0"/>
                <w:sz w:val="20"/>
                <w:szCs w:val="20"/>
              </w:rPr>
              <w:t>（二）被依法纠错数</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kern w:val="0"/>
                <w:sz w:val="20"/>
                <w:szCs w:val="20"/>
              </w:rPr>
            </w:pPr>
            <w:r>
              <w:rPr>
                <w:rFonts w:hint="eastAsia"/>
                <w:kern w:val="0"/>
                <w:sz w:val="20"/>
                <w:szCs w:val="20"/>
              </w:rPr>
              <w:t>件</w:t>
            </w:r>
          </w:p>
        </w:tc>
        <w:tc>
          <w:tcPr>
            <w:tcW w:w="884" w:type="dxa"/>
            <w:tcBorders>
              <w:top w:val="nil"/>
              <w:left w:val="nil"/>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8</w:t>
            </w:r>
          </w:p>
        </w:tc>
      </w:tr>
      <w:tr>
        <w:tblPrEx>
          <w:tblCellMar>
            <w:top w:w="0" w:type="dxa"/>
            <w:left w:w="108" w:type="dxa"/>
            <w:bottom w:w="0" w:type="dxa"/>
            <w:right w:w="108" w:type="dxa"/>
          </w:tblCellMar>
        </w:tblPrEx>
        <w:trPr>
          <w:trHeight w:val="435" w:hRule="atLeast"/>
          <w:jc w:val="center"/>
        </w:trPr>
        <w:tc>
          <w:tcPr>
            <w:tcW w:w="6946"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 xml:space="preserve">  </w:t>
            </w:r>
            <w:r>
              <w:rPr>
                <w:rFonts w:hint="eastAsia"/>
                <w:kern w:val="0"/>
                <w:sz w:val="20"/>
                <w:szCs w:val="20"/>
              </w:rPr>
              <w:t>（三）其他情形数</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kern w:val="0"/>
                <w:sz w:val="20"/>
                <w:szCs w:val="20"/>
              </w:rPr>
            </w:pPr>
            <w:r>
              <w:rPr>
                <w:rFonts w:hint="eastAsia"/>
                <w:kern w:val="0"/>
                <w:sz w:val="20"/>
                <w:szCs w:val="20"/>
              </w:rPr>
              <w:t>件</w:t>
            </w:r>
          </w:p>
        </w:tc>
        <w:tc>
          <w:tcPr>
            <w:tcW w:w="884" w:type="dxa"/>
            <w:tcBorders>
              <w:top w:val="nil"/>
              <w:left w:val="nil"/>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11</w:t>
            </w:r>
          </w:p>
        </w:tc>
      </w:tr>
      <w:tr>
        <w:tblPrEx>
          <w:tblCellMar>
            <w:top w:w="0" w:type="dxa"/>
            <w:left w:w="108" w:type="dxa"/>
            <w:bottom w:w="0" w:type="dxa"/>
            <w:right w:w="108" w:type="dxa"/>
          </w:tblCellMar>
        </w:tblPrEx>
        <w:trPr>
          <w:trHeight w:val="435" w:hRule="atLeast"/>
          <w:jc w:val="center"/>
        </w:trPr>
        <w:tc>
          <w:tcPr>
            <w:tcW w:w="6946"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kern w:val="0"/>
                <w:sz w:val="20"/>
                <w:szCs w:val="20"/>
              </w:rPr>
            </w:pPr>
            <w:r>
              <w:rPr>
                <w:rFonts w:hint="eastAsia"/>
                <w:kern w:val="0"/>
                <w:sz w:val="20"/>
                <w:szCs w:val="20"/>
              </w:rPr>
              <w:t>五、行政诉讼数量</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kern w:val="0"/>
                <w:sz w:val="20"/>
                <w:szCs w:val="20"/>
              </w:rPr>
            </w:pPr>
            <w:r>
              <w:rPr>
                <w:rFonts w:hint="eastAsia"/>
                <w:kern w:val="0"/>
                <w:sz w:val="20"/>
                <w:szCs w:val="20"/>
              </w:rPr>
              <w:t>件</w:t>
            </w:r>
          </w:p>
        </w:tc>
        <w:tc>
          <w:tcPr>
            <w:tcW w:w="884" w:type="dxa"/>
            <w:tcBorders>
              <w:top w:val="nil"/>
              <w:left w:val="nil"/>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95</w:t>
            </w:r>
          </w:p>
        </w:tc>
      </w:tr>
      <w:tr>
        <w:tblPrEx>
          <w:tblCellMar>
            <w:top w:w="0" w:type="dxa"/>
            <w:left w:w="108" w:type="dxa"/>
            <w:bottom w:w="0" w:type="dxa"/>
            <w:right w:w="108" w:type="dxa"/>
          </w:tblCellMar>
        </w:tblPrEx>
        <w:trPr>
          <w:trHeight w:val="405" w:hRule="atLeast"/>
          <w:jc w:val="center"/>
        </w:trPr>
        <w:tc>
          <w:tcPr>
            <w:tcW w:w="6946"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 xml:space="preserve">  </w:t>
            </w:r>
            <w:r>
              <w:rPr>
                <w:rFonts w:hint="eastAsia"/>
                <w:kern w:val="0"/>
                <w:sz w:val="20"/>
                <w:szCs w:val="20"/>
              </w:rPr>
              <w:t>（一）维持具体行政行为或者驳回原告诉讼请求数</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kern w:val="0"/>
                <w:sz w:val="20"/>
                <w:szCs w:val="20"/>
              </w:rPr>
            </w:pPr>
            <w:r>
              <w:rPr>
                <w:rFonts w:hint="eastAsia"/>
                <w:kern w:val="0"/>
                <w:sz w:val="20"/>
                <w:szCs w:val="20"/>
              </w:rPr>
              <w:t>件</w:t>
            </w:r>
          </w:p>
        </w:tc>
        <w:tc>
          <w:tcPr>
            <w:tcW w:w="884" w:type="dxa"/>
            <w:tcBorders>
              <w:top w:val="nil"/>
              <w:left w:val="nil"/>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79</w:t>
            </w:r>
          </w:p>
        </w:tc>
      </w:tr>
      <w:tr>
        <w:tblPrEx>
          <w:tblCellMar>
            <w:top w:w="0" w:type="dxa"/>
            <w:left w:w="108" w:type="dxa"/>
            <w:bottom w:w="0" w:type="dxa"/>
            <w:right w:w="108" w:type="dxa"/>
          </w:tblCellMar>
        </w:tblPrEx>
        <w:trPr>
          <w:trHeight w:val="435" w:hRule="atLeast"/>
          <w:jc w:val="center"/>
        </w:trPr>
        <w:tc>
          <w:tcPr>
            <w:tcW w:w="6946"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 xml:space="preserve">  </w:t>
            </w:r>
            <w:r>
              <w:rPr>
                <w:rFonts w:hint="eastAsia"/>
                <w:kern w:val="0"/>
                <w:sz w:val="20"/>
                <w:szCs w:val="20"/>
              </w:rPr>
              <w:t>（二）被依法纠错数</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kern w:val="0"/>
                <w:sz w:val="20"/>
                <w:szCs w:val="20"/>
              </w:rPr>
            </w:pPr>
            <w:r>
              <w:rPr>
                <w:rFonts w:hint="eastAsia"/>
                <w:kern w:val="0"/>
                <w:sz w:val="20"/>
                <w:szCs w:val="20"/>
              </w:rPr>
              <w:t>件</w:t>
            </w:r>
          </w:p>
        </w:tc>
        <w:tc>
          <w:tcPr>
            <w:tcW w:w="884" w:type="dxa"/>
            <w:tcBorders>
              <w:top w:val="nil"/>
              <w:left w:val="nil"/>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1</w:t>
            </w:r>
          </w:p>
        </w:tc>
      </w:tr>
      <w:tr>
        <w:tblPrEx>
          <w:tblCellMar>
            <w:top w:w="0" w:type="dxa"/>
            <w:left w:w="108" w:type="dxa"/>
            <w:bottom w:w="0" w:type="dxa"/>
            <w:right w:w="108" w:type="dxa"/>
          </w:tblCellMar>
        </w:tblPrEx>
        <w:trPr>
          <w:trHeight w:val="435" w:hRule="atLeast"/>
          <w:jc w:val="center"/>
        </w:trPr>
        <w:tc>
          <w:tcPr>
            <w:tcW w:w="6946"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 xml:space="preserve">  </w:t>
            </w:r>
            <w:r>
              <w:rPr>
                <w:rFonts w:hint="eastAsia"/>
                <w:kern w:val="0"/>
                <w:sz w:val="20"/>
                <w:szCs w:val="20"/>
              </w:rPr>
              <w:t>（三）其他情形数</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kern w:val="0"/>
                <w:sz w:val="20"/>
                <w:szCs w:val="20"/>
              </w:rPr>
            </w:pPr>
            <w:r>
              <w:rPr>
                <w:rFonts w:hint="eastAsia"/>
                <w:kern w:val="0"/>
                <w:sz w:val="20"/>
                <w:szCs w:val="20"/>
              </w:rPr>
              <w:t>件</w:t>
            </w:r>
          </w:p>
        </w:tc>
        <w:tc>
          <w:tcPr>
            <w:tcW w:w="884" w:type="dxa"/>
            <w:tcBorders>
              <w:top w:val="nil"/>
              <w:left w:val="nil"/>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15</w:t>
            </w:r>
          </w:p>
        </w:tc>
      </w:tr>
      <w:tr>
        <w:tblPrEx>
          <w:tblCellMar>
            <w:top w:w="0" w:type="dxa"/>
            <w:left w:w="108" w:type="dxa"/>
            <w:bottom w:w="0" w:type="dxa"/>
            <w:right w:w="108" w:type="dxa"/>
          </w:tblCellMar>
        </w:tblPrEx>
        <w:trPr>
          <w:trHeight w:val="435" w:hRule="atLeast"/>
          <w:jc w:val="center"/>
        </w:trPr>
        <w:tc>
          <w:tcPr>
            <w:tcW w:w="6946"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kern w:val="0"/>
                <w:sz w:val="20"/>
                <w:szCs w:val="20"/>
              </w:rPr>
            </w:pPr>
            <w:r>
              <w:rPr>
                <w:rFonts w:hint="eastAsia"/>
                <w:kern w:val="0"/>
                <w:sz w:val="20"/>
                <w:szCs w:val="20"/>
              </w:rPr>
              <w:t>六、举报投诉数量</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kern w:val="0"/>
                <w:sz w:val="20"/>
                <w:szCs w:val="20"/>
              </w:rPr>
            </w:pPr>
            <w:r>
              <w:rPr>
                <w:rFonts w:hint="eastAsia"/>
                <w:kern w:val="0"/>
                <w:sz w:val="20"/>
                <w:szCs w:val="20"/>
              </w:rPr>
              <w:t>件</w:t>
            </w:r>
          </w:p>
        </w:tc>
        <w:tc>
          <w:tcPr>
            <w:tcW w:w="884" w:type="dxa"/>
            <w:tcBorders>
              <w:top w:val="nil"/>
              <w:left w:val="nil"/>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44</w:t>
            </w:r>
          </w:p>
        </w:tc>
      </w:tr>
      <w:tr>
        <w:tblPrEx>
          <w:tblCellMar>
            <w:top w:w="0" w:type="dxa"/>
            <w:left w:w="108" w:type="dxa"/>
            <w:bottom w:w="0" w:type="dxa"/>
            <w:right w:w="108" w:type="dxa"/>
          </w:tblCellMar>
        </w:tblPrEx>
        <w:trPr>
          <w:trHeight w:val="435" w:hRule="atLeast"/>
          <w:jc w:val="center"/>
        </w:trPr>
        <w:tc>
          <w:tcPr>
            <w:tcW w:w="6946"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kern w:val="0"/>
                <w:sz w:val="20"/>
                <w:szCs w:val="20"/>
              </w:rPr>
            </w:pPr>
            <w:r>
              <w:rPr>
                <w:rFonts w:hint="eastAsia"/>
                <w:kern w:val="0"/>
                <w:sz w:val="20"/>
                <w:szCs w:val="20"/>
              </w:rPr>
              <w:t>七、依申请公开信息收取的费用</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kern w:val="0"/>
                <w:sz w:val="20"/>
                <w:szCs w:val="20"/>
              </w:rPr>
            </w:pPr>
            <w:r>
              <w:rPr>
                <w:rFonts w:hint="eastAsia"/>
                <w:kern w:val="0"/>
                <w:sz w:val="20"/>
                <w:szCs w:val="20"/>
              </w:rPr>
              <w:t>元</w:t>
            </w:r>
          </w:p>
        </w:tc>
        <w:tc>
          <w:tcPr>
            <w:tcW w:w="884" w:type="dxa"/>
            <w:tcBorders>
              <w:top w:val="nil"/>
              <w:left w:val="nil"/>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0</w:t>
            </w:r>
          </w:p>
        </w:tc>
      </w:tr>
      <w:tr>
        <w:tblPrEx>
          <w:tblCellMar>
            <w:top w:w="0" w:type="dxa"/>
            <w:left w:w="108" w:type="dxa"/>
            <w:bottom w:w="0" w:type="dxa"/>
            <w:right w:w="108" w:type="dxa"/>
          </w:tblCellMar>
        </w:tblPrEx>
        <w:trPr>
          <w:trHeight w:val="435" w:hRule="atLeast"/>
          <w:jc w:val="center"/>
        </w:trPr>
        <w:tc>
          <w:tcPr>
            <w:tcW w:w="6946"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kern w:val="0"/>
                <w:sz w:val="20"/>
                <w:szCs w:val="20"/>
              </w:rPr>
            </w:pPr>
            <w:r>
              <w:rPr>
                <w:rFonts w:hint="eastAsia"/>
                <w:kern w:val="0"/>
                <w:sz w:val="20"/>
                <w:szCs w:val="20"/>
              </w:rPr>
              <w:t>八、机构建设和保障经费情况</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kern w:val="0"/>
                <w:sz w:val="20"/>
                <w:szCs w:val="20"/>
              </w:rPr>
            </w:pPr>
            <w:r>
              <w:rPr>
                <w:rFonts w:hint="eastAsia"/>
                <w:kern w:val="0"/>
                <w:sz w:val="20"/>
                <w:szCs w:val="20"/>
              </w:rPr>
              <w:t>　</w:t>
            </w:r>
          </w:p>
        </w:tc>
        <w:tc>
          <w:tcPr>
            <w:tcW w:w="884" w:type="dxa"/>
            <w:tcBorders>
              <w:top w:val="nil"/>
              <w:left w:val="nil"/>
              <w:bottom w:val="single" w:color="000000" w:sz="4" w:space="0"/>
              <w:right w:val="single" w:color="000000" w:sz="4" w:space="0"/>
            </w:tcBorders>
            <w:shd w:val="clear" w:color="auto" w:fill="auto"/>
            <w:noWrap/>
            <w:vAlign w:val="bottom"/>
          </w:tcPr>
          <w:p>
            <w:pPr>
              <w:widowControl/>
              <w:jc w:val="left"/>
              <w:rPr>
                <w:kern w:val="0"/>
                <w:sz w:val="20"/>
                <w:szCs w:val="20"/>
              </w:rPr>
            </w:pPr>
            <w:r>
              <w:rPr>
                <w:rFonts w:hint="eastAsia"/>
                <w:kern w:val="0"/>
                <w:sz w:val="20"/>
                <w:szCs w:val="20"/>
              </w:rPr>
              <w:t>　</w:t>
            </w:r>
          </w:p>
        </w:tc>
      </w:tr>
      <w:tr>
        <w:tblPrEx>
          <w:tblCellMar>
            <w:top w:w="0" w:type="dxa"/>
            <w:left w:w="108" w:type="dxa"/>
            <w:bottom w:w="0" w:type="dxa"/>
            <w:right w:w="108" w:type="dxa"/>
          </w:tblCellMar>
        </w:tblPrEx>
        <w:trPr>
          <w:trHeight w:val="435" w:hRule="atLeast"/>
          <w:jc w:val="center"/>
        </w:trPr>
        <w:tc>
          <w:tcPr>
            <w:tcW w:w="6946"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 xml:space="preserve">  </w:t>
            </w:r>
            <w:r>
              <w:rPr>
                <w:rFonts w:hint="eastAsia"/>
                <w:kern w:val="0"/>
                <w:sz w:val="20"/>
                <w:szCs w:val="20"/>
              </w:rPr>
              <w:t>（一）政府信息公开工作专门机构数</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kern w:val="0"/>
                <w:sz w:val="20"/>
                <w:szCs w:val="20"/>
              </w:rPr>
            </w:pPr>
            <w:r>
              <w:rPr>
                <w:rFonts w:hint="eastAsia"/>
                <w:kern w:val="0"/>
                <w:sz w:val="20"/>
                <w:szCs w:val="20"/>
              </w:rPr>
              <w:t>个</w:t>
            </w:r>
          </w:p>
        </w:tc>
        <w:tc>
          <w:tcPr>
            <w:tcW w:w="884" w:type="dxa"/>
            <w:tcBorders>
              <w:top w:val="nil"/>
              <w:left w:val="nil"/>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71</w:t>
            </w:r>
          </w:p>
        </w:tc>
      </w:tr>
      <w:tr>
        <w:tblPrEx>
          <w:tblCellMar>
            <w:top w:w="0" w:type="dxa"/>
            <w:left w:w="108" w:type="dxa"/>
            <w:bottom w:w="0" w:type="dxa"/>
            <w:right w:w="108" w:type="dxa"/>
          </w:tblCellMar>
        </w:tblPrEx>
        <w:trPr>
          <w:trHeight w:val="435" w:hRule="atLeast"/>
          <w:jc w:val="center"/>
        </w:trPr>
        <w:tc>
          <w:tcPr>
            <w:tcW w:w="6946"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 xml:space="preserve">  </w:t>
            </w:r>
            <w:r>
              <w:rPr>
                <w:rFonts w:hint="eastAsia"/>
                <w:kern w:val="0"/>
                <w:sz w:val="20"/>
                <w:szCs w:val="20"/>
              </w:rPr>
              <w:t>（二）设置政府信息公开查阅点数</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kern w:val="0"/>
                <w:sz w:val="20"/>
                <w:szCs w:val="20"/>
              </w:rPr>
            </w:pPr>
            <w:r>
              <w:rPr>
                <w:rFonts w:hint="eastAsia"/>
                <w:kern w:val="0"/>
                <w:sz w:val="20"/>
                <w:szCs w:val="20"/>
              </w:rPr>
              <w:t>个</w:t>
            </w:r>
          </w:p>
        </w:tc>
        <w:tc>
          <w:tcPr>
            <w:tcW w:w="884" w:type="dxa"/>
            <w:tcBorders>
              <w:top w:val="nil"/>
              <w:left w:val="nil"/>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55</w:t>
            </w:r>
          </w:p>
        </w:tc>
      </w:tr>
      <w:tr>
        <w:tblPrEx>
          <w:tblCellMar>
            <w:top w:w="0" w:type="dxa"/>
            <w:left w:w="108" w:type="dxa"/>
            <w:bottom w:w="0" w:type="dxa"/>
            <w:right w:w="108" w:type="dxa"/>
          </w:tblCellMar>
        </w:tblPrEx>
        <w:trPr>
          <w:trHeight w:val="435" w:hRule="atLeast"/>
          <w:jc w:val="center"/>
        </w:trPr>
        <w:tc>
          <w:tcPr>
            <w:tcW w:w="6946"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 xml:space="preserve">  </w:t>
            </w:r>
            <w:r>
              <w:rPr>
                <w:rFonts w:hint="eastAsia"/>
                <w:kern w:val="0"/>
                <w:sz w:val="20"/>
                <w:szCs w:val="20"/>
              </w:rPr>
              <w:t>（三）从事政府信息公开工作人员数</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kern w:val="0"/>
                <w:sz w:val="20"/>
                <w:szCs w:val="20"/>
              </w:rPr>
            </w:pPr>
            <w:r>
              <w:rPr>
                <w:rFonts w:hint="eastAsia"/>
                <w:kern w:val="0"/>
                <w:sz w:val="20"/>
                <w:szCs w:val="20"/>
              </w:rPr>
              <w:t>人</w:t>
            </w:r>
          </w:p>
        </w:tc>
        <w:tc>
          <w:tcPr>
            <w:tcW w:w="884" w:type="dxa"/>
            <w:tcBorders>
              <w:top w:val="nil"/>
              <w:left w:val="nil"/>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107</w:t>
            </w:r>
          </w:p>
        </w:tc>
      </w:tr>
      <w:tr>
        <w:tblPrEx>
          <w:tblCellMar>
            <w:top w:w="0" w:type="dxa"/>
            <w:left w:w="108" w:type="dxa"/>
            <w:bottom w:w="0" w:type="dxa"/>
            <w:right w:w="108" w:type="dxa"/>
          </w:tblCellMar>
        </w:tblPrEx>
        <w:trPr>
          <w:trHeight w:val="435" w:hRule="atLeast"/>
          <w:jc w:val="center"/>
        </w:trPr>
        <w:tc>
          <w:tcPr>
            <w:tcW w:w="6946"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 xml:space="preserve">      1.</w:t>
            </w:r>
            <w:r>
              <w:rPr>
                <w:rFonts w:hint="eastAsia"/>
                <w:kern w:val="0"/>
                <w:sz w:val="20"/>
                <w:szCs w:val="20"/>
              </w:rPr>
              <w:t>专职人员数（不包括政府公报及政府网站工作人员数）</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kern w:val="0"/>
                <w:sz w:val="20"/>
                <w:szCs w:val="20"/>
              </w:rPr>
            </w:pPr>
            <w:r>
              <w:rPr>
                <w:rFonts w:hint="eastAsia"/>
                <w:kern w:val="0"/>
                <w:sz w:val="20"/>
                <w:szCs w:val="20"/>
              </w:rPr>
              <w:t>人</w:t>
            </w:r>
          </w:p>
        </w:tc>
        <w:tc>
          <w:tcPr>
            <w:tcW w:w="884" w:type="dxa"/>
            <w:tcBorders>
              <w:top w:val="nil"/>
              <w:left w:val="nil"/>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16</w:t>
            </w:r>
          </w:p>
        </w:tc>
      </w:tr>
      <w:tr>
        <w:tblPrEx>
          <w:tblCellMar>
            <w:top w:w="0" w:type="dxa"/>
            <w:left w:w="108" w:type="dxa"/>
            <w:bottom w:w="0" w:type="dxa"/>
            <w:right w:w="108" w:type="dxa"/>
          </w:tblCellMar>
        </w:tblPrEx>
        <w:trPr>
          <w:trHeight w:val="435" w:hRule="atLeast"/>
          <w:jc w:val="center"/>
        </w:trPr>
        <w:tc>
          <w:tcPr>
            <w:tcW w:w="6946"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 xml:space="preserve">      2.</w:t>
            </w:r>
            <w:r>
              <w:rPr>
                <w:rFonts w:hint="eastAsia"/>
                <w:kern w:val="0"/>
                <w:sz w:val="20"/>
                <w:szCs w:val="20"/>
              </w:rPr>
              <w:t>兼职人员数</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kern w:val="0"/>
                <w:sz w:val="20"/>
                <w:szCs w:val="20"/>
              </w:rPr>
            </w:pPr>
            <w:r>
              <w:rPr>
                <w:rFonts w:hint="eastAsia"/>
                <w:kern w:val="0"/>
                <w:sz w:val="20"/>
                <w:szCs w:val="20"/>
              </w:rPr>
              <w:t>人</w:t>
            </w:r>
          </w:p>
        </w:tc>
        <w:tc>
          <w:tcPr>
            <w:tcW w:w="884" w:type="dxa"/>
            <w:tcBorders>
              <w:top w:val="nil"/>
              <w:left w:val="nil"/>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91</w:t>
            </w:r>
          </w:p>
        </w:tc>
      </w:tr>
      <w:tr>
        <w:tblPrEx>
          <w:tblCellMar>
            <w:top w:w="0" w:type="dxa"/>
            <w:left w:w="108" w:type="dxa"/>
            <w:bottom w:w="0" w:type="dxa"/>
            <w:right w:w="108" w:type="dxa"/>
          </w:tblCellMar>
        </w:tblPrEx>
        <w:trPr>
          <w:trHeight w:val="435" w:hRule="atLeast"/>
          <w:jc w:val="center"/>
        </w:trPr>
        <w:tc>
          <w:tcPr>
            <w:tcW w:w="6946"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 xml:space="preserve">  </w:t>
            </w:r>
            <w:r>
              <w:rPr>
                <w:rFonts w:hint="eastAsia"/>
                <w:kern w:val="0"/>
                <w:sz w:val="20"/>
                <w:szCs w:val="20"/>
              </w:rPr>
              <w:t>（四）政府信息公开专项经费（不包括用于政府公报编辑管理及政府网站建设维护等方面的经费）</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kern w:val="0"/>
                <w:sz w:val="20"/>
                <w:szCs w:val="20"/>
              </w:rPr>
            </w:pPr>
            <w:r>
              <w:rPr>
                <w:rFonts w:hint="eastAsia"/>
                <w:kern w:val="0"/>
                <w:sz w:val="20"/>
                <w:szCs w:val="20"/>
              </w:rPr>
              <w:t>元</w:t>
            </w:r>
          </w:p>
        </w:tc>
        <w:tc>
          <w:tcPr>
            <w:tcW w:w="884" w:type="dxa"/>
            <w:tcBorders>
              <w:top w:val="nil"/>
              <w:left w:val="nil"/>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605500</w:t>
            </w:r>
          </w:p>
        </w:tc>
      </w:tr>
      <w:tr>
        <w:tblPrEx>
          <w:tblCellMar>
            <w:top w:w="0" w:type="dxa"/>
            <w:left w:w="108" w:type="dxa"/>
            <w:bottom w:w="0" w:type="dxa"/>
            <w:right w:w="108" w:type="dxa"/>
          </w:tblCellMar>
        </w:tblPrEx>
        <w:trPr>
          <w:trHeight w:val="435" w:hRule="atLeast"/>
          <w:jc w:val="center"/>
        </w:trPr>
        <w:tc>
          <w:tcPr>
            <w:tcW w:w="6946"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kern w:val="0"/>
                <w:sz w:val="20"/>
                <w:szCs w:val="20"/>
              </w:rPr>
            </w:pPr>
            <w:r>
              <w:rPr>
                <w:rFonts w:hint="eastAsia"/>
                <w:kern w:val="0"/>
                <w:sz w:val="20"/>
                <w:szCs w:val="20"/>
              </w:rPr>
              <w:t>九、政府信息公开会议和培训情况</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kern w:val="0"/>
                <w:sz w:val="20"/>
                <w:szCs w:val="20"/>
              </w:rPr>
            </w:pPr>
            <w:r>
              <w:rPr>
                <w:rFonts w:hint="eastAsia"/>
                <w:kern w:val="0"/>
                <w:sz w:val="20"/>
                <w:szCs w:val="20"/>
              </w:rPr>
              <w:t>　</w:t>
            </w:r>
          </w:p>
        </w:tc>
        <w:tc>
          <w:tcPr>
            <w:tcW w:w="884" w:type="dxa"/>
            <w:tcBorders>
              <w:top w:val="nil"/>
              <w:left w:val="nil"/>
              <w:bottom w:val="single" w:color="000000" w:sz="4" w:space="0"/>
              <w:right w:val="single" w:color="000000" w:sz="4" w:space="0"/>
            </w:tcBorders>
            <w:shd w:val="clear" w:color="auto" w:fill="auto"/>
            <w:noWrap/>
            <w:vAlign w:val="bottom"/>
          </w:tcPr>
          <w:p>
            <w:pPr>
              <w:widowControl/>
              <w:jc w:val="left"/>
              <w:rPr>
                <w:kern w:val="0"/>
                <w:sz w:val="20"/>
                <w:szCs w:val="20"/>
              </w:rPr>
            </w:pPr>
            <w:r>
              <w:rPr>
                <w:rFonts w:hint="eastAsia"/>
                <w:kern w:val="0"/>
                <w:sz w:val="20"/>
                <w:szCs w:val="20"/>
              </w:rPr>
              <w:t>　</w:t>
            </w:r>
          </w:p>
        </w:tc>
      </w:tr>
      <w:tr>
        <w:tblPrEx>
          <w:tblCellMar>
            <w:top w:w="0" w:type="dxa"/>
            <w:left w:w="108" w:type="dxa"/>
            <w:bottom w:w="0" w:type="dxa"/>
            <w:right w:w="108" w:type="dxa"/>
          </w:tblCellMar>
        </w:tblPrEx>
        <w:trPr>
          <w:trHeight w:val="435" w:hRule="atLeast"/>
          <w:jc w:val="center"/>
        </w:trPr>
        <w:tc>
          <w:tcPr>
            <w:tcW w:w="6946"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 xml:space="preserve">  </w:t>
            </w:r>
            <w:r>
              <w:rPr>
                <w:rFonts w:hint="eastAsia"/>
                <w:kern w:val="0"/>
                <w:sz w:val="20"/>
                <w:szCs w:val="20"/>
              </w:rPr>
              <w:t>（一）召开政府信息公开工作会议或专题会议数</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kern w:val="0"/>
                <w:sz w:val="20"/>
                <w:szCs w:val="20"/>
              </w:rPr>
            </w:pPr>
            <w:r>
              <w:rPr>
                <w:rFonts w:hint="eastAsia"/>
                <w:kern w:val="0"/>
                <w:sz w:val="20"/>
                <w:szCs w:val="20"/>
              </w:rPr>
              <w:t>次</w:t>
            </w:r>
          </w:p>
        </w:tc>
        <w:tc>
          <w:tcPr>
            <w:tcW w:w="884" w:type="dxa"/>
            <w:tcBorders>
              <w:top w:val="nil"/>
              <w:left w:val="nil"/>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154</w:t>
            </w:r>
          </w:p>
        </w:tc>
      </w:tr>
      <w:tr>
        <w:tblPrEx>
          <w:tblCellMar>
            <w:top w:w="0" w:type="dxa"/>
            <w:left w:w="108" w:type="dxa"/>
            <w:bottom w:w="0" w:type="dxa"/>
            <w:right w:w="108" w:type="dxa"/>
          </w:tblCellMar>
        </w:tblPrEx>
        <w:trPr>
          <w:trHeight w:val="435" w:hRule="atLeast"/>
          <w:jc w:val="center"/>
        </w:trPr>
        <w:tc>
          <w:tcPr>
            <w:tcW w:w="6946"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 xml:space="preserve">  </w:t>
            </w:r>
            <w:r>
              <w:rPr>
                <w:rFonts w:hint="eastAsia"/>
                <w:kern w:val="0"/>
                <w:sz w:val="20"/>
                <w:szCs w:val="20"/>
              </w:rPr>
              <w:t>（二）举办各类培训班数</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kern w:val="0"/>
                <w:sz w:val="20"/>
                <w:szCs w:val="20"/>
              </w:rPr>
            </w:pPr>
            <w:r>
              <w:rPr>
                <w:rFonts w:hint="eastAsia"/>
                <w:kern w:val="0"/>
                <w:sz w:val="20"/>
                <w:szCs w:val="20"/>
              </w:rPr>
              <w:t>次</w:t>
            </w:r>
          </w:p>
        </w:tc>
        <w:tc>
          <w:tcPr>
            <w:tcW w:w="884" w:type="dxa"/>
            <w:tcBorders>
              <w:top w:val="nil"/>
              <w:left w:val="nil"/>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71</w:t>
            </w:r>
          </w:p>
        </w:tc>
      </w:tr>
      <w:tr>
        <w:tblPrEx>
          <w:tblCellMar>
            <w:top w:w="0" w:type="dxa"/>
            <w:left w:w="108" w:type="dxa"/>
            <w:bottom w:w="0" w:type="dxa"/>
            <w:right w:w="108" w:type="dxa"/>
          </w:tblCellMar>
        </w:tblPrEx>
        <w:trPr>
          <w:trHeight w:val="435" w:hRule="atLeast"/>
          <w:jc w:val="center"/>
        </w:trPr>
        <w:tc>
          <w:tcPr>
            <w:tcW w:w="6946"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 xml:space="preserve">  </w:t>
            </w:r>
            <w:r>
              <w:rPr>
                <w:rFonts w:hint="eastAsia"/>
                <w:kern w:val="0"/>
                <w:sz w:val="20"/>
                <w:szCs w:val="20"/>
              </w:rPr>
              <w:t>（三）接受培训人员数</w:t>
            </w:r>
          </w:p>
        </w:tc>
        <w:tc>
          <w:tcPr>
            <w:tcW w:w="567" w:type="dxa"/>
            <w:tcBorders>
              <w:top w:val="nil"/>
              <w:left w:val="nil"/>
              <w:bottom w:val="single" w:color="000000" w:sz="4" w:space="0"/>
              <w:right w:val="single" w:color="000000" w:sz="4" w:space="0"/>
            </w:tcBorders>
            <w:shd w:val="clear" w:color="000000" w:fill="FFFFFF"/>
            <w:vAlign w:val="center"/>
          </w:tcPr>
          <w:p>
            <w:pPr>
              <w:widowControl/>
              <w:jc w:val="center"/>
              <w:rPr>
                <w:kern w:val="0"/>
                <w:sz w:val="20"/>
                <w:szCs w:val="20"/>
              </w:rPr>
            </w:pPr>
            <w:r>
              <w:rPr>
                <w:rFonts w:hint="eastAsia"/>
                <w:kern w:val="0"/>
                <w:sz w:val="20"/>
                <w:szCs w:val="20"/>
              </w:rPr>
              <w:t>人次</w:t>
            </w:r>
          </w:p>
        </w:tc>
        <w:tc>
          <w:tcPr>
            <w:tcW w:w="884" w:type="dxa"/>
            <w:tcBorders>
              <w:top w:val="nil"/>
              <w:left w:val="nil"/>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2828</w:t>
            </w:r>
          </w:p>
        </w:tc>
      </w:tr>
      <w:tr>
        <w:tblPrEx>
          <w:tblCellMar>
            <w:top w:w="0" w:type="dxa"/>
            <w:left w:w="108" w:type="dxa"/>
            <w:bottom w:w="0" w:type="dxa"/>
            <w:right w:w="108" w:type="dxa"/>
          </w:tblCellMar>
        </w:tblPrEx>
        <w:trPr>
          <w:trHeight w:val="255" w:hRule="atLeast"/>
          <w:jc w:val="center"/>
        </w:trPr>
        <w:tc>
          <w:tcPr>
            <w:tcW w:w="6946" w:type="dxa"/>
            <w:tcBorders>
              <w:top w:val="nil"/>
              <w:left w:val="nil"/>
              <w:bottom w:val="nil"/>
              <w:right w:val="nil"/>
            </w:tcBorders>
            <w:shd w:val="clear" w:color="auto" w:fill="auto"/>
            <w:noWrap/>
            <w:vAlign w:val="bottom"/>
          </w:tcPr>
          <w:p>
            <w:pPr>
              <w:widowControl/>
              <w:jc w:val="left"/>
              <w:rPr>
                <w:kern w:val="0"/>
                <w:sz w:val="20"/>
                <w:szCs w:val="20"/>
              </w:rPr>
            </w:pPr>
          </w:p>
        </w:tc>
        <w:tc>
          <w:tcPr>
            <w:tcW w:w="567" w:type="dxa"/>
            <w:tcBorders>
              <w:top w:val="nil"/>
              <w:left w:val="nil"/>
              <w:bottom w:val="nil"/>
              <w:right w:val="nil"/>
            </w:tcBorders>
            <w:shd w:val="clear" w:color="000000" w:fill="FFFFFF"/>
            <w:noWrap/>
            <w:vAlign w:val="center"/>
          </w:tcPr>
          <w:p>
            <w:pPr>
              <w:widowControl/>
              <w:jc w:val="center"/>
              <w:rPr>
                <w:kern w:val="0"/>
                <w:sz w:val="20"/>
                <w:szCs w:val="20"/>
              </w:rPr>
            </w:pPr>
            <w:r>
              <w:rPr>
                <w:rFonts w:hint="eastAsia"/>
                <w:kern w:val="0"/>
                <w:sz w:val="20"/>
                <w:szCs w:val="20"/>
              </w:rPr>
              <w:t>　</w:t>
            </w:r>
          </w:p>
        </w:tc>
        <w:tc>
          <w:tcPr>
            <w:tcW w:w="884" w:type="dxa"/>
            <w:tcBorders>
              <w:top w:val="nil"/>
              <w:left w:val="nil"/>
              <w:bottom w:val="nil"/>
              <w:right w:val="nil"/>
            </w:tcBorders>
            <w:shd w:val="clear" w:color="000000" w:fill="FFFFFF"/>
            <w:noWrap/>
            <w:vAlign w:val="center"/>
          </w:tcPr>
          <w:p>
            <w:pPr>
              <w:widowControl/>
              <w:jc w:val="center"/>
              <w:rPr>
                <w:kern w:val="0"/>
                <w:sz w:val="20"/>
                <w:szCs w:val="20"/>
              </w:rPr>
            </w:pPr>
            <w:r>
              <w:rPr>
                <w:rFonts w:hint="eastAsia"/>
                <w:kern w:val="0"/>
                <w:sz w:val="20"/>
                <w:szCs w:val="20"/>
              </w:rPr>
              <w:t>　</w:t>
            </w:r>
          </w:p>
        </w:tc>
      </w:tr>
      <w:bookmarkEnd w:id="0"/>
      <w:bookmarkEnd w:id="1"/>
    </w:tbl>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rPr>
      <w:t>1</w:t>
    </w:r>
    <w:r>
      <w:rPr>
        <w:rStyle w:val="8"/>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291B79"/>
    <w:multiLevelType w:val="multilevel"/>
    <w:tmpl w:val="7B291B79"/>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EwZmZjOTc5NTQ5YTFkN2NhZTc2MzE3OWJhYjZhMTYifQ=="/>
    <w:docVar w:name="KSO_WPS_MARK_KEY" w:val="f3878ebc-f735-46c2-ac44-b171c56e9a4d"/>
  </w:docVars>
  <w:rsids>
    <w:rsidRoot w:val="00EF35E7"/>
    <w:rsid w:val="000008D4"/>
    <w:rsid w:val="00000E7C"/>
    <w:rsid w:val="0000279B"/>
    <w:rsid w:val="0000534B"/>
    <w:rsid w:val="00006902"/>
    <w:rsid w:val="00007195"/>
    <w:rsid w:val="00007775"/>
    <w:rsid w:val="00007A05"/>
    <w:rsid w:val="00007BA5"/>
    <w:rsid w:val="00007EA2"/>
    <w:rsid w:val="00010B4F"/>
    <w:rsid w:val="00013609"/>
    <w:rsid w:val="0001398E"/>
    <w:rsid w:val="00016082"/>
    <w:rsid w:val="00016411"/>
    <w:rsid w:val="00017A54"/>
    <w:rsid w:val="0002022B"/>
    <w:rsid w:val="00020272"/>
    <w:rsid w:val="0002058E"/>
    <w:rsid w:val="00021528"/>
    <w:rsid w:val="000222A5"/>
    <w:rsid w:val="00022413"/>
    <w:rsid w:val="0002267C"/>
    <w:rsid w:val="00022FDD"/>
    <w:rsid w:val="00023373"/>
    <w:rsid w:val="00023DA0"/>
    <w:rsid w:val="000267F5"/>
    <w:rsid w:val="0002689C"/>
    <w:rsid w:val="00027904"/>
    <w:rsid w:val="00027A07"/>
    <w:rsid w:val="00027ACB"/>
    <w:rsid w:val="00030C98"/>
    <w:rsid w:val="00031C12"/>
    <w:rsid w:val="00031D42"/>
    <w:rsid w:val="00032E38"/>
    <w:rsid w:val="000342DA"/>
    <w:rsid w:val="00034407"/>
    <w:rsid w:val="00034CC9"/>
    <w:rsid w:val="00035DFA"/>
    <w:rsid w:val="00035F9C"/>
    <w:rsid w:val="000363DD"/>
    <w:rsid w:val="00036A55"/>
    <w:rsid w:val="0004032E"/>
    <w:rsid w:val="00040B93"/>
    <w:rsid w:val="000413DE"/>
    <w:rsid w:val="000418DB"/>
    <w:rsid w:val="00041A85"/>
    <w:rsid w:val="00041C26"/>
    <w:rsid w:val="000421BB"/>
    <w:rsid w:val="00043E85"/>
    <w:rsid w:val="00045341"/>
    <w:rsid w:val="000464FE"/>
    <w:rsid w:val="0004722B"/>
    <w:rsid w:val="0004728C"/>
    <w:rsid w:val="00047A31"/>
    <w:rsid w:val="00047F71"/>
    <w:rsid w:val="00050A56"/>
    <w:rsid w:val="00050ED9"/>
    <w:rsid w:val="00051278"/>
    <w:rsid w:val="000514DF"/>
    <w:rsid w:val="00052532"/>
    <w:rsid w:val="0005257D"/>
    <w:rsid w:val="00052DF7"/>
    <w:rsid w:val="00053CFD"/>
    <w:rsid w:val="00053DF2"/>
    <w:rsid w:val="000547AB"/>
    <w:rsid w:val="00054CF9"/>
    <w:rsid w:val="00054EAE"/>
    <w:rsid w:val="00055058"/>
    <w:rsid w:val="00055314"/>
    <w:rsid w:val="0005623D"/>
    <w:rsid w:val="0005646B"/>
    <w:rsid w:val="00056970"/>
    <w:rsid w:val="00061414"/>
    <w:rsid w:val="00061A5B"/>
    <w:rsid w:val="00061F45"/>
    <w:rsid w:val="00064ED9"/>
    <w:rsid w:val="000667E6"/>
    <w:rsid w:val="000668E8"/>
    <w:rsid w:val="00067334"/>
    <w:rsid w:val="0006739C"/>
    <w:rsid w:val="00070098"/>
    <w:rsid w:val="000705F4"/>
    <w:rsid w:val="00071218"/>
    <w:rsid w:val="00071B0A"/>
    <w:rsid w:val="00071C47"/>
    <w:rsid w:val="00072301"/>
    <w:rsid w:val="00072A03"/>
    <w:rsid w:val="00072ED4"/>
    <w:rsid w:val="00073581"/>
    <w:rsid w:val="000741BA"/>
    <w:rsid w:val="000745AC"/>
    <w:rsid w:val="000746F6"/>
    <w:rsid w:val="00075142"/>
    <w:rsid w:val="0007533A"/>
    <w:rsid w:val="000765C9"/>
    <w:rsid w:val="0008139A"/>
    <w:rsid w:val="00081B10"/>
    <w:rsid w:val="000839A2"/>
    <w:rsid w:val="000847FF"/>
    <w:rsid w:val="00084B3B"/>
    <w:rsid w:val="00085208"/>
    <w:rsid w:val="00085501"/>
    <w:rsid w:val="00086877"/>
    <w:rsid w:val="0008694C"/>
    <w:rsid w:val="00086A7F"/>
    <w:rsid w:val="00087D92"/>
    <w:rsid w:val="00090556"/>
    <w:rsid w:val="00092543"/>
    <w:rsid w:val="00092892"/>
    <w:rsid w:val="00092C15"/>
    <w:rsid w:val="00092D7F"/>
    <w:rsid w:val="00092E43"/>
    <w:rsid w:val="0009522B"/>
    <w:rsid w:val="00095C2F"/>
    <w:rsid w:val="00095D3C"/>
    <w:rsid w:val="000966F1"/>
    <w:rsid w:val="00096A4C"/>
    <w:rsid w:val="00097A99"/>
    <w:rsid w:val="000A115B"/>
    <w:rsid w:val="000A1602"/>
    <w:rsid w:val="000A17F7"/>
    <w:rsid w:val="000A24D8"/>
    <w:rsid w:val="000A2971"/>
    <w:rsid w:val="000A3695"/>
    <w:rsid w:val="000A448D"/>
    <w:rsid w:val="000A6411"/>
    <w:rsid w:val="000B0B4C"/>
    <w:rsid w:val="000B0DA9"/>
    <w:rsid w:val="000B17B8"/>
    <w:rsid w:val="000B3319"/>
    <w:rsid w:val="000B49E3"/>
    <w:rsid w:val="000B5309"/>
    <w:rsid w:val="000B5421"/>
    <w:rsid w:val="000B54FA"/>
    <w:rsid w:val="000B6031"/>
    <w:rsid w:val="000B719B"/>
    <w:rsid w:val="000B7C48"/>
    <w:rsid w:val="000C0407"/>
    <w:rsid w:val="000C1801"/>
    <w:rsid w:val="000C1E5D"/>
    <w:rsid w:val="000C1E9B"/>
    <w:rsid w:val="000C2B51"/>
    <w:rsid w:val="000C37D0"/>
    <w:rsid w:val="000C381F"/>
    <w:rsid w:val="000C4754"/>
    <w:rsid w:val="000C5862"/>
    <w:rsid w:val="000C6011"/>
    <w:rsid w:val="000C631A"/>
    <w:rsid w:val="000C7111"/>
    <w:rsid w:val="000C7B45"/>
    <w:rsid w:val="000C7B65"/>
    <w:rsid w:val="000D07C8"/>
    <w:rsid w:val="000D0918"/>
    <w:rsid w:val="000D0BC0"/>
    <w:rsid w:val="000D12F9"/>
    <w:rsid w:val="000D1E2D"/>
    <w:rsid w:val="000D2078"/>
    <w:rsid w:val="000D3742"/>
    <w:rsid w:val="000D445B"/>
    <w:rsid w:val="000D4676"/>
    <w:rsid w:val="000D61E8"/>
    <w:rsid w:val="000D6B3A"/>
    <w:rsid w:val="000D6E5C"/>
    <w:rsid w:val="000D6FC7"/>
    <w:rsid w:val="000D744E"/>
    <w:rsid w:val="000D7C9B"/>
    <w:rsid w:val="000E07C5"/>
    <w:rsid w:val="000E088A"/>
    <w:rsid w:val="000E12C6"/>
    <w:rsid w:val="000E6291"/>
    <w:rsid w:val="000E64A3"/>
    <w:rsid w:val="000E69E2"/>
    <w:rsid w:val="000E73A5"/>
    <w:rsid w:val="000E77D1"/>
    <w:rsid w:val="000E7A1A"/>
    <w:rsid w:val="000F121A"/>
    <w:rsid w:val="000F1617"/>
    <w:rsid w:val="000F2269"/>
    <w:rsid w:val="000F25F3"/>
    <w:rsid w:val="000F2A8A"/>
    <w:rsid w:val="000F2E38"/>
    <w:rsid w:val="000F2E97"/>
    <w:rsid w:val="000F326D"/>
    <w:rsid w:val="000F367C"/>
    <w:rsid w:val="000F4BAD"/>
    <w:rsid w:val="000F5431"/>
    <w:rsid w:val="000F6325"/>
    <w:rsid w:val="00100413"/>
    <w:rsid w:val="001009ED"/>
    <w:rsid w:val="0010193F"/>
    <w:rsid w:val="00102384"/>
    <w:rsid w:val="00102841"/>
    <w:rsid w:val="0010306F"/>
    <w:rsid w:val="0010571D"/>
    <w:rsid w:val="00106E9F"/>
    <w:rsid w:val="001072DF"/>
    <w:rsid w:val="00107D97"/>
    <w:rsid w:val="00110300"/>
    <w:rsid w:val="00111B0A"/>
    <w:rsid w:val="00111D9C"/>
    <w:rsid w:val="00111D9D"/>
    <w:rsid w:val="0011219F"/>
    <w:rsid w:val="001121AB"/>
    <w:rsid w:val="00112317"/>
    <w:rsid w:val="0011244C"/>
    <w:rsid w:val="00114785"/>
    <w:rsid w:val="00114E69"/>
    <w:rsid w:val="001176C8"/>
    <w:rsid w:val="00120B3B"/>
    <w:rsid w:val="00120E48"/>
    <w:rsid w:val="00121F4D"/>
    <w:rsid w:val="001228BF"/>
    <w:rsid w:val="00123626"/>
    <w:rsid w:val="0012402B"/>
    <w:rsid w:val="001241A5"/>
    <w:rsid w:val="0012445F"/>
    <w:rsid w:val="0012584C"/>
    <w:rsid w:val="001262AF"/>
    <w:rsid w:val="0012689C"/>
    <w:rsid w:val="00127299"/>
    <w:rsid w:val="001317BC"/>
    <w:rsid w:val="00131C76"/>
    <w:rsid w:val="001320F4"/>
    <w:rsid w:val="001323C7"/>
    <w:rsid w:val="00133E08"/>
    <w:rsid w:val="00134761"/>
    <w:rsid w:val="00134A00"/>
    <w:rsid w:val="00134EEC"/>
    <w:rsid w:val="001352FB"/>
    <w:rsid w:val="0013580F"/>
    <w:rsid w:val="00136EE8"/>
    <w:rsid w:val="0013736B"/>
    <w:rsid w:val="001377E0"/>
    <w:rsid w:val="00137E87"/>
    <w:rsid w:val="001401A6"/>
    <w:rsid w:val="00140CEB"/>
    <w:rsid w:val="00140EC6"/>
    <w:rsid w:val="0014122A"/>
    <w:rsid w:val="00141F49"/>
    <w:rsid w:val="0014241B"/>
    <w:rsid w:val="00142E0A"/>
    <w:rsid w:val="00143197"/>
    <w:rsid w:val="00143608"/>
    <w:rsid w:val="00144DAC"/>
    <w:rsid w:val="00145425"/>
    <w:rsid w:val="00145CEE"/>
    <w:rsid w:val="00146BA2"/>
    <w:rsid w:val="0015095C"/>
    <w:rsid w:val="00150C14"/>
    <w:rsid w:val="00150F3B"/>
    <w:rsid w:val="00151970"/>
    <w:rsid w:val="00152779"/>
    <w:rsid w:val="00152B10"/>
    <w:rsid w:val="00154823"/>
    <w:rsid w:val="00155055"/>
    <w:rsid w:val="001556DE"/>
    <w:rsid w:val="00155EDE"/>
    <w:rsid w:val="0015607F"/>
    <w:rsid w:val="001561A2"/>
    <w:rsid w:val="001561A5"/>
    <w:rsid w:val="001577EF"/>
    <w:rsid w:val="0016028D"/>
    <w:rsid w:val="001604E8"/>
    <w:rsid w:val="001605DD"/>
    <w:rsid w:val="00162569"/>
    <w:rsid w:val="00162A3C"/>
    <w:rsid w:val="001630B8"/>
    <w:rsid w:val="00163895"/>
    <w:rsid w:val="00163ECB"/>
    <w:rsid w:val="00166EB2"/>
    <w:rsid w:val="0017026B"/>
    <w:rsid w:val="00170E4E"/>
    <w:rsid w:val="001717AB"/>
    <w:rsid w:val="00171982"/>
    <w:rsid w:val="001722D6"/>
    <w:rsid w:val="00172F10"/>
    <w:rsid w:val="00173C9F"/>
    <w:rsid w:val="001753ED"/>
    <w:rsid w:val="00176860"/>
    <w:rsid w:val="00177237"/>
    <w:rsid w:val="00177D48"/>
    <w:rsid w:val="00180386"/>
    <w:rsid w:val="001809FF"/>
    <w:rsid w:val="001810E2"/>
    <w:rsid w:val="00181AD3"/>
    <w:rsid w:val="00181C04"/>
    <w:rsid w:val="0018260B"/>
    <w:rsid w:val="0018451A"/>
    <w:rsid w:val="001874EA"/>
    <w:rsid w:val="0018755C"/>
    <w:rsid w:val="001879F3"/>
    <w:rsid w:val="00187B10"/>
    <w:rsid w:val="00187E2D"/>
    <w:rsid w:val="00187E6D"/>
    <w:rsid w:val="00190F44"/>
    <w:rsid w:val="00191065"/>
    <w:rsid w:val="0019132E"/>
    <w:rsid w:val="001913C9"/>
    <w:rsid w:val="0019179C"/>
    <w:rsid w:val="001919AE"/>
    <w:rsid w:val="00191AD9"/>
    <w:rsid w:val="0019222C"/>
    <w:rsid w:val="00193807"/>
    <w:rsid w:val="00193DE4"/>
    <w:rsid w:val="0019637A"/>
    <w:rsid w:val="0019699D"/>
    <w:rsid w:val="00197D70"/>
    <w:rsid w:val="00197FC3"/>
    <w:rsid w:val="001A0DF0"/>
    <w:rsid w:val="001A1753"/>
    <w:rsid w:val="001A18B4"/>
    <w:rsid w:val="001A1971"/>
    <w:rsid w:val="001A1B94"/>
    <w:rsid w:val="001A3ACB"/>
    <w:rsid w:val="001A3AE0"/>
    <w:rsid w:val="001A3E7D"/>
    <w:rsid w:val="001A4BBA"/>
    <w:rsid w:val="001A5877"/>
    <w:rsid w:val="001A599A"/>
    <w:rsid w:val="001A66E7"/>
    <w:rsid w:val="001A7649"/>
    <w:rsid w:val="001A772C"/>
    <w:rsid w:val="001A7E1D"/>
    <w:rsid w:val="001B0764"/>
    <w:rsid w:val="001B1F5E"/>
    <w:rsid w:val="001B22CA"/>
    <w:rsid w:val="001B377D"/>
    <w:rsid w:val="001B3FD7"/>
    <w:rsid w:val="001B415D"/>
    <w:rsid w:val="001B7C34"/>
    <w:rsid w:val="001C1FA4"/>
    <w:rsid w:val="001C24EC"/>
    <w:rsid w:val="001C26C0"/>
    <w:rsid w:val="001C3230"/>
    <w:rsid w:val="001C32A4"/>
    <w:rsid w:val="001C3355"/>
    <w:rsid w:val="001C4400"/>
    <w:rsid w:val="001C47D4"/>
    <w:rsid w:val="001C5467"/>
    <w:rsid w:val="001C58C8"/>
    <w:rsid w:val="001C61D5"/>
    <w:rsid w:val="001C6E0E"/>
    <w:rsid w:val="001C75A0"/>
    <w:rsid w:val="001C7A88"/>
    <w:rsid w:val="001D0F6C"/>
    <w:rsid w:val="001D189A"/>
    <w:rsid w:val="001D1AE6"/>
    <w:rsid w:val="001D2486"/>
    <w:rsid w:val="001D3A45"/>
    <w:rsid w:val="001D4061"/>
    <w:rsid w:val="001D4BDD"/>
    <w:rsid w:val="001D5349"/>
    <w:rsid w:val="001D5966"/>
    <w:rsid w:val="001D5F90"/>
    <w:rsid w:val="001D6AFD"/>
    <w:rsid w:val="001D74C8"/>
    <w:rsid w:val="001E0985"/>
    <w:rsid w:val="001E0F54"/>
    <w:rsid w:val="001E10B1"/>
    <w:rsid w:val="001E12E4"/>
    <w:rsid w:val="001E155B"/>
    <w:rsid w:val="001E1776"/>
    <w:rsid w:val="001E1E3A"/>
    <w:rsid w:val="001E1E3F"/>
    <w:rsid w:val="001E1EDA"/>
    <w:rsid w:val="001E2220"/>
    <w:rsid w:val="001E2AD9"/>
    <w:rsid w:val="001E2C9A"/>
    <w:rsid w:val="001E32D8"/>
    <w:rsid w:val="001E51B0"/>
    <w:rsid w:val="001E6766"/>
    <w:rsid w:val="001E6F95"/>
    <w:rsid w:val="001E7A24"/>
    <w:rsid w:val="001E7C61"/>
    <w:rsid w:val="001E7D34"/>
    <w:rsid w:val="001F06CC"/>
    <w:rsid w:val="001F0F0B"/>
    <w:rsid w:val="001F15FA"/>
    <w:rsid w:val="001F1785"/>
    <w:rsid w:val="001F2039"/>
    <w:rsid w:val="001F22EB"/>
    <w:rsid w:val="001F4335"/>
    <w:rsid w:val="001F5A29"/>
    <w:rsid w:val="001F63AC"/>
    <w:rsid w:val="001F74E8"/>
    <w:rsid w:val="001F7991"/>
    <w:rsid w:val="002039E4"/>
    <w:rsid w:val="00203ED1"/>
    <w:rsid w:val="0020497E"/>
    <w:rsid w:val="00204EAD"/>
    <w:rsid w:val="00204F3C"/>
    <w:rsid w:val="00205721"/>
    <w:rsid w:val="0020596E"/>
    <w:rsid w:val="00205EC7"/>
    <w:rsid w:val="00206C22"/>
    <w:rsid w:val="0020726B"/>
    <w:rsid w:val="00207EE4"/>
    <w:rsid w:val="002105C2"/>
    <w:rsid w:val="002110CB"/>
    <w:rsid w:val="002113C7"/>
    <w:rsid w:val="002114E1"/>
    <w:rsid w:val="00211769"/>
    <w:rsid w:val="00211C2A"/>
    <w:rsid w:val="0021316E"/>
    <w:rsid w:val="00213361"/>
    <w:rsid w:val="00214C7A"/>
    <w:rsid w:val="00215C4F"/>
    <w:rsid w:val="00215FAB"/>
    <w:rsid w:val="00216A5C"/>
    <w:rsid w:val="00216E6F"/>
    <w:rsid w:val="0021726A"/>
    <w:rsid w:val="002176F3"/>
    <w:rsid w:val="002179A3"/>
    <w:rsid w:val="00217ED9"/>
    <w:rsid w:val="00220F82"/>
    <w:rsid w:val="00221322"/>
    <w:rsid w:val="002213AC"/>
    <w:rsid w:val="00222170"/>
    <w:rsid w:val="00222854"/>
    <w:rsid w:val="0022354F"/>
    <w:rsid w:val="00223DE4"/>
    <w:rsid w:val="00224342"/>
    <w:rsid w:val="0022491B"/>
    <w:rsid w:val="00225332"/>
    <w:rsid w:val="0022550B"/>
    <w:rsid w:val="0022619A"/>
    <w:rsid w:val="00226C62"/>
    <w:rsid w:val="00227A33"/>
    <w:rsid w:val="00227B56"/>
    <w:rsid w:val="00230D9E"/>
    <w:rsid w:val="00231618"/>
    <w:rsid w:val="002320D0"/>
    <w:rsid w:val="00232896"/>
    <w:rsid w:val="00232BF9"/>
    <w:rsid w:val="00233637"/>
    <w:rsid w:val="00235023"/>
    <w:rsid w:val="00236DD4"/>
    <w:rsid w:val="00236E60"/>
    <w:rsid w:val="00241772"/>
    <w:rsid w:val="002418FE"/>
    <w:rsid w:val="00244B72"/>
    <w:rsid w:val="00246453"/>
    <w:rsid w:val="00246B5B"/>
    <w:rsid w:val="00247371"/>
    <w:rsid w:val="0025088E"/>
    <w:rsid w:val="0025095D"/>
    <w:rsid w:val="00251132"/>
    <w:rsid w:val="00251202"/>
    <w:rsid w:val="00251935"/>
    <w:rsid w:val="00252123"/>
    <w:rsid w:val="00252857"/>
    <w:rsid w:val="00253088"/>
    <w:rsid w:val="00253D37"/>
    <w:rsid w:val="002555F5"/>
    <w:rsid w:val="002570A6"/>
    <w:rsid w:val="00257D73"/>
    <w:rsid w:val="00261490"/>
    <w:rsid w:val="002615B7"/>
    <w:rsid w:val="00261D1D"/>
    <w:rsid w:val="002654C9"/>
    <w:rsid w:val="0026572A"/>
    <w:rsid w:val="00266820"/>
    <w:rsid w:val="00266836"/>
    <w:rsid w:val="0026723A"/>
    <w:rsid w:val="0026749A"/>
    <w:rsid w:val="0027127C"/>
    <w:rsid w:val="00271952"/>
    <w:rsid w:val="00273D49"/>
    <w:rsid w:val="00274745"/>
    <w:rsid w:val="00275BAC"/>
    <w:rsid w:val="0027608D"/>
    <w:rsid w:val="00277664"/>
    <w:rsid w:val="0028415C"/>
    <w:rsid w:val="00285F69"/>
    <w:rsid w:val="002864AB"/>
    <w:rsid w:val="00286A3D"/>
    <w:rsid w:val="002871DF"/>
    <w:rsid w:val="002874E1"/>
    <w:rsid w:val="0029087A"/>
    <w:rsid w:val="0029132F"/>
    <w:rsid w:val="00291FCF"/>
    <w:rsid w:val="002921AF"/>
    <w:rsid w:val="00293B8F"/>
    <w:rsid w:val="00293EC2"/>
    <w:rsid w:val="00294182"/>
    <w:rsid w:val="00295B37"/>
    <w:rsid w:val="00296D59"/>
    <w:rsid w:val="002A0D2C"/>
    <w:rsid w:val="002A161A"/>
    <w:rsid w:val="002A22CB"/>
    <w:rsid w:val="002A2895"/>
    <w:rsid w:val="002A33FC"/>
    <w:rsid w:val="002A4B15"/>
    <w:rsid w:val="002A4D13"/>
    <w:rsid w:val="002A5D83"/>
    <w:rsid w:val="002A68C9"/>
    <w:rsid w:val="002A6E38"/>
    <w:rsid w:val="002A71F1"/>
    <w:rsid w:val="002A7286"/>
    <w:rsid w:val="002B034B"/>
    <w:rsid w:val="002B0639"/>
    <w:rsid w:val="002B1219"/>
    <w:rsid w:val="002B23E8"/>
    <w:rsid w:val="002B3B37"/>
    <w:rsid w:val="002B3B9B"/>
    <w:rsid w:val="002B3DCB"/>
    <w:rsid w:val="002B45D8"/>
    <w:rsid w:val="002B67F0"/>
    <w:rsid w:val="002B758E"/>
    <w:rsid w:val="002B782C"/>
    <w:rsid w:val="002C0D20"/>
    <w:rsid w:val="002C2481"/>
    <w:rsid w:val="002C4B6F"/>
    <w:rsid w:val="002C523B"/>
    <w:rsid w:val="002C58AD"/>
    <w:rsid w:val="002C6510"/>
    <w:rsid w:val="002D0585"/>
    <w:rsid w:val="002D060E"/>
    <w:rsid w:val="002D2C83"/>
    <w:rsid w:val="002D2CC0"/>
    <w:rsid w:val="002D39FB"/>
    <w:rsid w:val="002D4413"/>
    <w:rsid w:val="002D4E96"/>
    <w:rsid w:val="002D503F"/>
    <w:rsid w:val="002D529D"/>
    <w:rsid w:val="002D5847"/>
    <w:rsid w:val="002D5CFA"/>
    <w:rsid w:val="002D614D"/>
    <w:rsid w:val="002D76EC"/>
    <w:rsid w:val="002E0848"/>
    <w:rsid w:val="002E0D65"/>
    <w:rsid w:val="002E16CD"/>
    <w:rsid w:val="002E24DE"/>
    <w:rsid w:val="002E2F50"/>
    <w:rsid w:val="002E2F70"/>
    <w:rsid w:val="002E4967"/>
    <w:rsid w:val="002F2519"/>
    <w:rsid w:val="002F2CF7"/>
    <w:rsid w:val="002F2E87"/>
    <w:rsid w:val="002F3DB0"/>
    <w:rsid w:val="002F6BFC"/>
    <w:rsid w:val="002F6C32"/>
    <w:rsid w:val="002F74DA"/>
    <w:rsid w:val="002F7B42"/>
    <w:rsid w:val="00301209"/>
    <w:rsid w:val="00302D5C"/>
    <w:rsid w:val="00302F4A"/>
    <w:rsid w:val="003033E3"/>
    <w:rsid w:val="003035DA"/>
    <w:rsid w:val="003038E3"/>
    <w:rsid w:val="00303AFC"/>
    <w:rsid w:val="00305D4A"/>
    <w:rsid w:val="003061BB"/>
    <w:rsid w:val="00306299"/>
    <w:rsid w:val="00307067"/>
    <w:rsid w:val="003071DE"/>
    <w:rsid w:val="00311540"/>
    <w:rsid w:val="0031177B"/>
    <w:rsid w:val="00312590"/>
    <w:rsid w:val="003133E0"/>
    <w:rsid w:val="00313D77"/>
    <w:rsid w:val="003147B3"/>
    <w:rsid w:val="003154F9"/>
    <w:rsid w:val="00316164"/>
    <w:rsid w:val="0032058B"/>
    <w:rsid w:val="003206E7"/>
    <w:rsid w:val="00320C38"/>
    <w:rsid w:val="00320ECE"/>
    <w:rsid w:val="003210C2"/>
    <w:rsid w:val="003218CE"/>
    <w:rsid w:val="003220A3"/>
    <w:rsid w:val="0032240C"/>
    <w:rsid w:val="003235E8"/>
    <w:rsid w:val="00323839"/>
    <w:rsid w:val="00323E45"/>
    <w:rsid w:val="00323FEC"/>
    <w:rsid w:val="00324B8A"/>
    <w:rsid w:val="00325A4B"/>
    <w:rsid w:val="00326299"/>
    <w:rsid w:val="003265A4"/>
    <w:rsid w:val="003348BD"/>
    <w:rsid w:val="003348E3"/>
    <w:rsid w:val="003353CA"/>
    <w:rsid w:val="00335D35"/>
    <w:rsid w:val="0033622A"/>
    <w:rsid w:val="00340A57"/>
    <w:rsid w:val="003413A8"/>
    <w:rsid w:val="003421C7"/>
    <w:rsid w:val="003426E2"/>
    <w:rsid w:val="00343410"/>
    <w:rsid w:val="0034668B"/>
    <w:rsid w:val="00346CC5"/>
    <w:rsid w:val="00347F14"/>
    <w:rsid w:val="00350822"/>
    <w:rsid w:val="00352DDA"/>
    <w:rsid w:val="003536A1"/>
    <w:rsid w:val="00353ADD"/>
    <w:rsid w:val="00354233"/>
    <w:rsid w:val="003542C0"/>
    <w:rsid w:val="00354321"/>
    <w:rsid w:val="00356F9A"/>
    <w:rsid w:val="00357599"/>
    <w:rsid w:val="00362A8F"/>
    <w:rsid w:val="00364328"/>
    <w:rsid w:val="00364A84"/>
    <w:rsid w:val="00364D03"/>
    <w:rsid w:val="0036536F"/>
    <w:rsid w:val="00365515"/>
    <w:rsid w:val="00365EAE"/>
    <w:rsid w:val="003674E0"/>
    <w:rsid w:val="00367BFD"/>
    <w:rsid w:val="0037002B"/>
    <w:rsid w:val="00370A14"/>
    <w:rsid w:val="00370DC6"/>
    <w:rsid w:val="00370F71"/>
    <w:rsid w:val="003723F6"/>
    <w:rsid w:val="0037538F"/>
    <w:rsid w:val="00376085"/>
    <w:rsid w:val="00376392"/>
    <w:rsid w:val="00377D18"/>
    <w:rsid w:val="00380BEA"/>
    <w:rsid w:val="00382F8C"/>
    <w:rsid w:val="0038391A"/>
    <w:rsid w:val="00384858"/>
    <w:rsid w:val="003849C0"/>
    <w:rsid w:val="00384BCD"/>
    <w:rsid w:val="00385253"/>
    <w:rsid w:val="0038540D"/>
    <w:rsid w:val="00385D0C"/>
    <w:rsid w:val="003862A5"/>
    <w:rsid w:val="00386C33"/>
    <w:rsid w:val="00387D58"/>
    <w:rsid w:val="00387DF4"/>
    <w:rsid w:val="003917CA"/>
    <w:rsid w:val="00392035"/>
    <w:rsid w:val="00392678"/>
    <w:rsid w:val="0039299F"/>
    <w:rsid w:val="003939F9"/>
    <w:rsid w:val="0039471D"/>
    <w:rsid w:val="00395604"/>
    <w:rsid w:val="00396135"/>
    <w:rsid w:val="00396504"/>
    <w:rsid w:val="00396B56"/>
    <w:rsid w:val="003A075E"/>
    <w:rsid w:val="003A08EC"/>
    <w:rsid w:val="003A0C7F"/>
    <w:rsid w:val="003A1B95"/>
    <w:rsid w:val="003A1E30"/>
    <w:rsid w:val="003A2CC4"/>
    <w:rsid w:val="003A3356"/>
    <w:rsid w:val="003A33E5"/>
    <w:rsid w:val="003A41A0"/>
    <w:rsid w:val="003A53B5"/>
    <w:rsid w:val="003A5547"/>
    <w:rsid w:val="003A5D1F"/>
    <w:rsid w:val="003A629A"/>
    <w:rsid w:val="003A631F"/>
    <w:rsid w:val="003A74DF"/>
    <w:rsid w:val="003B0158"/>
    <w:rsid w:val="003B08AC"/>
    <w:rsid w:val="003B1027"/>
    <w:rsid w:val="003B1192"/>
    <w:rsid w:val="003B1267"/>
    <w:rsid w:val="003B174F"/>
    <w:rsid w:val="003B1A85"/>
    <w:rsid w:val="003B2088"/>
    <w:rsid w:val="003B334E"/>
    <w:rsid w:val="003B3609"/>
    <w:rsid w:val="003B3DC3"/>
    <w:rsid w:val="003B4265"/>
    <w:rsid w:val="003B4380"/>
    <w:rsid w:val="003B46F4"/>
    <w:rsid w:val="003B78B5"/>
    <w:rsid w:val="003C0229"/>
    <w:rsid w:val="003C0683"/>
    <w:rsid w:val="003C0BB3"/>
    <w:rsid w:val="003C0C7F"/>
    <w:rsid w:val="003C0D83"/>
    <w:rsid w:val="003C106D"/>
    <w:rsid w:val="003C1B83"/>
    <w:rsid w:val="003C4519"/>
    <w:rsid w:val="003C4BE6"/>
    <w:rsid w:val="003C4EC0"/>
    <w:rsid w:val="003C57B9"/>
    <w:rsid w:val="003C5BBB"/>
    <w:rsid w:val="003C5C13"/>
    <w:rsid w:val="003C5E11"/>
    <w:rsid w:val="003C6CCD"/>
    <w:rsid w:val="003C788B"/>
    <w:rsid w:val="003C7B63"/>
    <w:rsid w:val="003D00D9"/>
    <w:rsid w:val="003D0515"/>
    <w:rsid w:val="003D051E"/>
    <w:rsid w:val="003D09CE"/>
    <w:rsid w:val="003D200C"/>
    <w:rsid w:val="003D2061"/>
    <w:rsid w:val="003D319D"/>
    <w:rsid w:val="003D39EB"/>
    <w:rsid w:val="003D4217"/>
    <w:rsid w:val="003D5024"/>
    <w:rsid w:val="003D53D1"/>
    <w:rsid w:val="003D7A59"/>
    <w:rsid w:val="003E1116"/>
    <w:rsid w:val="003E19A5"/>
    <w:rsid w:val="003E1BCC"/>
    <w:rsid w:val="003E2505"/>
    <w:rsid w:val="003E296A"/>
    <w:rsid w:val="003E3993"/>
    <w:rsid w:val="003E441B"/>
    <w:rsid w:val="003E5BEA"/>
    <w:rsid w:val="003E5CF2"/>
    <w:rsid w:val="003E6754"/>
    <w:rsid w:val="003E6B5D"/>
    <w:rsid w:val="003E6D5D"/>
    <w:rsid w:val="003F00AF"/>
    <w:rsid w:val="003F0857"/>
    <w:rsid w:val="003F1201"/>
    <w:rsid w:val="003F12C0"/>
    <w:rsid w:val="003F2143"/>
    <w:rsid w:val="003F3082"/>
    <w:rsid w:val="003F3165"/>
    <w:rsid w:val="003F7629"/>
    <w:rsid w:val="003F7BC4"/>
    <w:rsid w:val="004008D6"/>
    <w:rsid w:val="00400B39"/>
    <w:rsid w:val="0040449B"/>
    <w:rsid w:val="0040456A"/>
    <w:rsid w:val="00405402"/>
    <w:rsid w:val="004055C1"/>
    <w:rsid w:val="00405AE6"/>
    <w:rsid w:val="00406273"/>
    <w:rsid w:val="00406F99"/>
    <w:rsid w:val="004078A0"/>
    <w:rsid w:val="00407DD0"/>
    <w:rsid w:val="004102FC"/>
    <w:rsid w:val="004109EF"/>
    <w:rsid w:val="004120F7"/>
    <w:rsid w:val="0041285B"/>
    <w:rsid w:val="00413E99"/>
    <w:rsid w:val="00415B56"/>
    <w:rsid w:val="00415D69"/>
    <w:rsid w:val="00415F95"/>
    <w:rsid w:val="004164D0"/>
    <w:rsid w:val="0041697C"/>
    <w:rsid w:val="00417FF2"/>
    <w:rsid w:val="0042042F"/>
    <w:rsid w:val="00420544"/>
    <w:rsid w:val="004208CC"/>
    <w:rsid w:val="00420BE9"/>
    <w:rsid w:val="0042102E"/>
    <w:rsid w:val="00421CC9"/>
    <w:rsid w:val="00422100"/>
    <w:rsid w:val="00422847"/>
    <w:rsid w:val="00422E51"/>
    <w:rsid w:val="00422F20"/>
    <w:rsid w:val="004249F1"/>
    <w:rsid w:val="00424B0A"/>
    <w:rsid w:val="004250D3"/>
    <w:rsid w:val="00426BC3"/>
    <w:rsid w:val="0042712B"/>
    <w:rsid w:val="00427A70"/>
    <w:rsid w:val="00430089"/>
    <w:rsid w:val="00430DD0"/>
    <w:rsid w:val="004312EF"/>
    <w:rsid w:val="00431C44"/>
    <w:rsid w:val="004327D9"/>
    <w:rsid w:val="004334D1"/>
    <w:rsid w:val="00433E1F"/>
    <w:rsid w:val="0043421B"/>
    <w:rsid w:val="00434CD7"/>
    <w:rsid w:val="00435557"/>
    <w:rsid w:val="004356EF"/>
    <w:rsid w:val="00435C0C"/>
    <w:rsid w:val="004365E8"/>
    <w:rsid w:val="004369A1"/>
    <w:rsid w:val="00437C42"/>
    <w:rsid w:val="004404CD"/>
    <w:rsid w:val="00440A67"/>
    <w:rsid w:val="00440B2D"/>
    <w:rsid w:val="00441588"/>
    <w:rsid w:val="004417FE"/>
    <w:rsid w:val="004418A9"/>
    <w:rsid w:val="004420A0"/>
    <w:rsid w:val="004428F1"/>
    <w:rsid w:val="00442CC1"/>
    <w:rsid w:val="00442ECD"/>
    <w:rsid w:val="004449E3"/>
    <w:rsid w:val="00446148"/>
    <w:rsid w:val="00446D97"/>
    <w:rsid w:val="004500FF"/>
    <w:rsid w:val="00451C22"/>
    <w:rsid w:val="00452A81"/>
    <w:rsid w:val="004539AD"/>
    <w:rsid w:val="00453D93"/>
    <w:rsid w:val="00456166"/>
    <w:rsid w:val="004564E2"/>
    <w:rsid w:val="00456633"/>
    <w:rsid w:val="004575A5"/>
    <w:rsid w:val="00457ABF"/>
    <w:rsid w:val="00457CE8"/>
    <w:rsid w:val="004607B7"/>
    <w:rsid w:val="00460F9C"/>
    <w:rsid w:val="004615D4"/>
    <w:rsid w:val="004617FD"/>
    <w:rsid w:val="00462836"/>
    <w:rsid w:val="004628BE"/>
    <w:rsid w:val="00462DA0"/>
    <w:rsid w:val="004632A0"/>
    <w:rsid w:val="004633AE"/>
    <w:rsid w:val="00463763"/>
    <w:rsid w:val="004637AD"/>
    <w:rsid w:val="004637AF"/>
    <w:rsid w:val="00463CBA"/>
    <w:rsid w:val="004659BA"/>
    <w:rsid w:val="00466343"/>
    <w:rsid w:val="0046664E"/>
    <w:rsid w:val="00466BC3"/>
    <w:rsid w:val="00470054"/>
    <w:rsid w:val="00471AC9"/>
    <w:rsid w:val="00471E90"/>
    <w:rsid w:val="00471F98"/>
    <w:rsid w:val="00472E26"/>
    <w:rsid w:val="00473305"/>
    <w:rsid w:val="00475298"/>
    <w:rsid w:val="004752ED"/>
    <w:rsid w:val="0047535A"/>
    <w:rsid w:val="00475A99"/>
    <w:rsid w:val="00475BBE"/>
    <w:rsid w:val="00477150"/>
    <w:rsid w:val="00480531"/>
    <w:rsid w:val="004805D4"/>
    <w:rsid w:val="00480F3C"/>
    <w:rsid w:val="00481178"/>
    <w:rsid w:val="00481321"/>
    <w:rsid w:val="00481434"/>
    <w:rsid w:val="004815E8"/>
    <w:rsid w:val="004831B3"/>
    <w:rsid w:val="004841EE"/>
    <w:rsid w:val="00484EC1"/>
    <w:rsid w:val="004853F6"/>
    <w:rsid w:val="00485F52"/>
    <w:rsid w:val="00486041"/>
    <w:rsid w:val="004863F7"/>
    <w:rsid w:val="004867DE"/>
    <w:rsid w:val="004878FC"/>
    <w:rsid w:val="0049066C"/>
    <w:rsid w:val="004908F6"/>
    <w:rsid w:val="00490DD4"/>
    <w:rsid w:val="0049157A"/>
    <w:rsid w:val="00491EE7"/>
    <w:rsid w:val="00492E2F"/>
    <w:rsid w:val="00492F94"/>
    <w:rsid w:val="004930C0"/>
    <w:rsid w:val="0049516B"/>
    <w:rsid w:val="00495384"/>
    <w:rsid w:val="004A0860"/>
    <w:rsid w:val="004A2799"/>
    <w:rsid w:val="004A2E34"/>
    <w:rsid w:val="004A3201"/>
    <w:rsid w:val="004A3F61"/>
    <w:rsid w:val="004A3F7A"/>
    <w:rsid w:val="004A40D7"/>
    <w:rsid w:val="004A4911"/>
    <w:rsid w:val="004A6255"/>
    <w:rsid w:val="004A6E0B"/>
    <w:rsid w:val="004A7D51"/>
    <w:rsid w:val="004B014A"/>
    <w:rsid w:val="004B0430"/>
    <w:rsid w:val="004B0F86"/>
    <w:rsid w:val="004B2469"/>
    <w:rsid w:val="004B376B"/>
    <w:rsid w:val="004B444F"/>
    <w:rsid w:val="004B4FF9"/>
    <w:rsid w:val="004B63A1"/>
    <w:rsid w:val="004B7391"/>
    <w:rsid w:val="004B7ED3"/>
    <w:rsid w:val="004C06F7"/>
    <w:rsid w:val="004C1B12"/>
    <w:rsid w:val="004C1DB2"/>
    <w:rsid w:val="004C2E21"/>
    <w:rsid w:val="004C453F"/>
    <w:rsid w:val="004C665E"/>
    <w:rsid w:val="004C695B"/>
    <w:rsid w:val="004C773F"/>
    <w:rsid w:val="004C7EAC"/>
    <w:rsid w:val="004D00C0"/>
    <w:rsid w:val="004D16F1"/>
    <w:rsid w:val="004D2244"/>
    <w:rsid w:val="004D2302"/>
    <w:rsid w:val="004D2451"/>
    <w:rsid w:val="004D25B4"/>
    <w:rsid w:val="004D3525"/>
    <w:rsid w:val="004D37A5"/>
    <w:rsid w:val="004D4A02"/>
    <w:rsid w:val="004D50A5"/>
    <w:rsid w:val="004D5B17"/>
    <w:rsid w:val="004D5CC8"/>
    <w:rsid w:val="004D5F96"/>
    <w:rsid w:val="004D699B"/>
    <w:rsid w:val="004D7187"/>
    <w:rsid w:val="004D7D8C"/>
    <w:rsid w:val="004E0433"/>
    <w:rsid w:val="004E1168"/>
    <w:rsid w:val="004E19F7"/>
    <w:rsid w:val="004E1D26"/>
    <w:rsid w:val="004E24BB"/>
    <w:rsid w:val="004E29BE"/>
    <w:rsid w:val="004E3123"/>
    <w:rsid w:val="004E37B7"/>
    <w:rsid w:val="004E3E63"/>
    <w:rsid w:val="004E3FB0"/>
    <w:rsid w:val="004E55B7"/>
    <w:rsid w:val="004E6064"/>
    <w:rsid w:val="004E76B4"/>
    <w:rsid w:val="004F06FE"/>
    <w:rsid w:val="004F35DC"/>
    <w:rsid w:val="004F3B41"/>
    <w:rsid w:val="004F4542"/>
    <w:rsid w:val="004F4819"/>
    <w:rsid w:val="004F53EC"/>
    <w:rsid w:val="004F5F23"/>
    <w:rsid w:val="004F6A1E"/>
    <w:rsid w:val="004F6BC4"/>
    <w:rsid w:val="004F7B8D"/>
    <w:rsid w:val="004F7BBB"/>
    <w:rsid w:val="004F7F89"/>
    <w:rsid w:val="0050082A"/>
    <w:rsid w:val="005009A3"/>
    <w:rsid w:val="00500C42"/>
    <w:rsid w:val="0050306A"/>
    <w:rsid w:val="00503978"/>
    <w:rsid w:val="00503F35"/>
    <w:rsid w:val="0050456C"/>
    <w:rsid w:val="0050482B"/>
    <w:rsid w:val="00505513"/>
    <w:rsid w:val="00506247"/>
    <w:rsid w:val="0050695D"/>
    <w:rsid w:val="00510210"/>
    <w:rsid w:val="00510302"/>
    <w:rsid w:val="0051083A"/>
    <w:rsid w:val="00512858"/>
    <w:rsid w:val="00512B90"/>
    <w:rsid w:val="0051345F"/>
    <w:rsid w:val="005144E2"/>
    <w:rsid w:val="00514A08"/>
    <w:rsid w:val="00516825"/>
    <w:rsid w:val="00516B52"/>
    <w:rsid w:val="00516BCC"/>
    <w:rsid w:val="00517A45"/>
    <w:rsid w:val="00520481"/>
    <w:rsid w:val="00520992"/>
    <w:rsid w:val="0052110E"/>
    <w:rsid w:val="00521C5C"/>
    <w:rsid w:val="00521F62"/>
    <w:rsid w:val="005224A5"/>
    <w:rsid w:val="00523C45"/>
    <w:rsid w:val="005245FA"/>
    <w:rsid w:val="00524F32"/>
    <w:rsid w:val="005277F3"/>
    <w:rsid w:val="00530209"/>
    <w:rsid w:val="005308D2"/>
    <w:rsid w:val="00532638"/>
    <w:rsid w:val="00533477"/>
    <w:rsid w:val="00534A4A"/>
    <w:rsid w:val="00534B99"/>
    <w:rsid w:val="00534D7D"/>
    <w:rsid w:val="0053519F"/>
    <w:rsid w:val="00536082"/>
    <w:rsid w:val="005367A2"/>
    <w:rsid w:val="00537C71"/>
    <w:rsid w:val="0054060D"/>
    <w:rsid w:val="00541573"/>
    <w:rsid w:val="00542230"/>
    <w:rsid w:val="00542252"/>
    <w:rsid w:val="0054277E"/>
    <w:rsid w:val="00542852"/>
    <w:rsid w:val="00542907"/>
    <w:rsid w:val="00544694"/>
    <w:rsid w:val="00544B25"/>
    <w:rsid w:val="00544FFD"/>
    <w:rsid w:val="00545A0E"/>
    <w:rsid w:val="00550C5A"/>
    <w:rsid w:val="00551FDC"/>
    <w:rsid w:val="00552FF0"/>
    <w:rsid w:val="00553DDD"/>
    <w:rsid w:val="005544E0"/>
    <w:rsid w:val="00554AD0"/>
    <w:rsid w:val="005558B4"/>
    <w:rsid w:val="00555B91"/>
    <w:rsid w:val="00555F46"/>
    <w:rsid w:val="0055697D"/>
    <w:rsid w:val="00556E19"/>
    <w:rsid w:val="00556F7E"/>
    <w:rsid w:val="0055772D"/>
    <w:rsid w:val="00561C8D"/>
    <w:rsid w:val="005621D0"/>
    <w:rsid w:val="00562D0D"/>
    <w:rsid w:val="00563AAC"/>
    <w:rsid w:val="00563C20"/>
    <w:rsid w:val="00563E3D"/>
    <w:rsid w:val="005648D4"/>
    <w:rsid w:val="00564F7C"/>
    <w:rsid w:val="005653D7"/>
    <w:rsid w:val="00565BD3"/>
    <w:rsid w:val="0056625C"/>
    <w:rsid w:val="00567966"/>
    <w:rsid w:val="0057144F"/>
    <w:rsid w:val="00573AD1"/>
    <w:rsid w:val="00573B52"/>
    <w:rsid w:val="00573C6E"/>
    <w:rsid w:val="00574483"/>
    <w:rsid w:val="00574946"/>
    <w:rsid w:val="00574994"/>
    <w:rsid w:val="005749BA"/>
    <w:rsid w:val="005749FD"/>
    <w:rsid w:val="00574D26"/>
    <w:rsid w:val="00575194"/>
    <w:rsid w:val="0057575F"/>
    <w:rsid w:val="00575B82"/>
    <w:rsid w:val="00577110"/>
    <w:rsid w:val="0057730C"/>
    <w:rsid w:val="0057779A"/>
    <w:rsid w:val="00581A3B"/>
    <w:rsid w:val="0058210C"/>
    <w:rsid w:val="005824D2"/>
    <w:rsid w:val="005826EE"/>
    <w:rsid w:val="00582B4C"/>
    <w:rsid w:val="00582C86"/>
    <w:rsid w:val="00582EE1"/>
    <w:rsid w:val="00583201"/>
    <w:rsid w:val="005844F3"/>
    <w:rsid w:val="00585056"/>
    <w:rsid w:val="00585096"/>
    <w:rsid w:val="005851B3"/>
    <w:rsid w:val="005854E0"/>
    <w:rsid w:val="005856D8"/>
    <w:rsid w:val="00586005"/>
    <w:rsid w:val="00586709"/>
    <w:rsid w:val="005879F4"/>
    <w:rsid w:val="00591B64"/>
    <w:rsid w:val="00591CEB"/>
    <w:rsid w:val="00591D29"/>
    <w:rsid w:val="00592846"/>
    <w:rsid w:val="0059354D"/>
    <w:rsid w:val="00594D84"/>
    <w:rsid w:val="00595048"/>
    <w:rsid w:val="00595696"/>
    <w:rsid w:val="00595A15"/>
    <w:rsid w:val="005960EA"/>
    <w:rsid w:val="005969FD"/>
    <w:rsid w:val="005A0538"/>
    <w:rsid w:val="005A111F"/>
    <w:rsid w:val="005A1524"/>
    <w:rsid w:val="005A1858"/>
    <w:rsid w:val="005A1C03"/>
    <w:rsid w:val="005A1F2F"/>
    <w:rsid w:val="005A292C"/>
    <w:rsid w:val="005A3547"/>
    <w:rsid w:val="005A4C09"/>
    <w:rsid w:val="005A7F9C"/>
    <w:rsid w:val="005B0F5B"/>
    <w:rsid w:val="005B14C2"/>
    <w:rsid w:val="005B14C3"/>
    <w:rsid w:val="005B25C5"/>
    <w:rsid w:val="005B2D5C"/>
    <w:rsid w:val="005B352D"/>
    <w:rsid w:val="005B3584"/>
    <w:rsid w:val="005B3C16"/>
    <w:rsid w:val="005B5595"/>
    <w:rsid w:val="005B5646"/>
    <w:rsid w:val="005B5AA3"/>
    <w:rsid w:val="005B67BA"/>
    <w:rsid w:val="005B6C8F"/>
    <w:rsid w:val="005B6D43"/>
    <w:rsid w:val="005B7F77"/>
    <w:rsid w:val="005C0130"/>
    <w:rsid w:val="005C0192"/>
    <w:rsid w:val="005C16F3"/>
    <w:rsid w:val="005C2A40"/>
    <w:rsid w:val="005C2A49"/>
    <w:rsid w:val="005C2DB2"/>
    <w:rsid w:val="005C361B"/>
    <w:rsid w:val="005C398C"/>
    <w:rsid w:val="005C3A1C"/>
    <w:rsid w:val="005C3ED9"/>
    <w:rsid w:val="005C4AB6"/>
    <w:rsid w:val="005C4DC3"/>
    <w:rsid w:val="005C700F"/>
    <w:rsid w:val="005D1213"/>
    <w:rsid w:val="005D15AE"/>
    <w:rsid w:val="005D1ADE"/>
    <w:rsid w:val="005D2595"/>
    <w:rsid w:val="005D3082"/>
    <w:rsid w:val="005D39C6"/>
    <w:rsid w:val="005D3D6D"/>
    <w:rsid w:val="005D49F0"/>
    <w:rsid w:val="005D6131"/>
    <w:rsid w:val="005D6369"/>
    <w:rsid w:val="005D6FC9"/>
    <w:rsid w:val="005D735D"/>
    <w:rsid w:val="005D7D29"/>
    <w:rsid w:val="005E0033"/>
    <w:rsid w:val="005E1D6B"/>
    <w:rsid w:val="005E262C"/>
    <w:rsid w:val="005E2CA3"/>
    <w:rsid w:val="005E4706"/>
    <w:rsid w:val="005E5151"/>
    <w:rsid w:val="005E5281"/>
    <w:rsid w:val="005E5B53"/>
    <w:rsid w:val="005E5BEF"/>
    <w:rsid w:val="005E61CF"/>
    <w:rsid w:val="005E6C5F"/>
    <w:rsid w:val="005E6D4E"/>
    <w:rsid w:val="005F0A30"/>
    <w:rsid w:val="005F1A32"/>
    <w:rsid w:val="005F1A40"/>
    <w:rsid w:val="005F3153"/>
    <w:rsid w:val="005F4CAD"/>
    <w:rsid w:val="005F4DEF"/>
    <w:rsid w:val="005F5A5B"/>
    <w:rsid w:val="005F6A23"/>
    <w:rsid w:val="005F71A8"/>
    <w:rsid w:val="00600587"/>
    <w:rsid w:val="00600E42"/>
    <w:rsid w:val="0060287B"/>
    <w:rsid w:val="00602D9D"/>
    <w:rsid w:val="006035F2"/>
    <w:rsid w:val="00603DFD"/>
    <w:rsid w:val="00604DFA"/>
    <w:rsid w:val="00606510"/>
    <w:rsid w:val="00606EAD"/>
    <w:rsid w:val="00607379"/>
    <w:rsid w:val="0060752D"/>
    <w:rsid w:val="0060773F"/>
    <w:rsid w:val="006100A8"/>
    <w:rsid w:val="00610424"/>
    <w:rsid w:val="00610D34"/>
    <w:rsid w:val="00612AFC"/>
    <w:rsid w:val="0061359A"/>
    <w:rsid w:val="00614044"/>
    <w:rsid w:val="00614E4E"/>
    <w:rsid w:val="00615031"/>
    <w:rsid w:val="00615780"/>
    <w:rsid w:val="006164FF"/>
    <w:rsid w:val="006169F8"/>
    <w:rsid w:val="00616B77"/>
    <w:rsid w:val="00617441"/>
    <w:rsid w:val="0062066D"/>
    <w:rsid w:val="006217AE"/>
    <w:rsid w:val="00621973"/>
    <w:rsid w:val="00622B71"/>
    <w:rsid w:val="00623A02"/>
    <w:rsid w:val="0062474E"/>
    <w:rsid w:val="0062498F"/>
    <w:rsid w:val="00624AF2"/>
    <w:rsid w:val="0062512C"/>
    <w:rsid w:val="006251FA"/>
    <w:rsid w:val="00625D7F"/>
    <w:rsid w:val="00627140"/>
    <w:rsid w:val="00627525"/>
    <w:rsid w:val="00630083"/>
    <w:rsid w:val="00631A03"/>
    <w:rsid w:val="00631F2B"/>
    <w:rsid w:val="00632B4A"/>
    <w:rsid w:val="0063345F"/>
    <w:rsid w:val="00634A66"/>
    <w:rsid w:val="00634AB7"/>
    <w:rsid w:val="00635701"/>
    <w:rsid w:val="006360D5"/>
    <w:rsid w:val="0063612B"/>
    <w:rsid w:val="00636BD2"/>
    <w:rsid w:val="00636E49"/>
    <w:rsid w:val="00637342"/>
    <w:rsid w:val="00637445"/>
    <w:rsid w:val="006403CD"/>
    <w:rsid w:val="00641349"/>
    <w:rsid w:val="006424BA"/>
    <w:rsid w:val="0064256C"/>
    <w:rsid w:val="00642DFC"/>
    <w:rsid w:val="00643402"/>
    <w:rsid w:val="006465F2"/>
    <w:rsid w:val="006502B9"/>
    <w:rsid w:val="006515E5"/>
    <w:rsid w:val="00653DFF"/>
    <w:rsid w:val="0065443B"/>
    <w:rsid w:val="00654A16"/>
    <w:rsid w:val="00654D08"/>
    <w:rsid w:val="00654ED7"/>
    <w:rsid w:val="00655100"/>
    <w:rsid w:val="00657A2E"/>
    <w:rsid w:val="00660E5A"/>
    <w:rsid w:val="00662337"/>
    <w:rsid w:val="0066479C"/>
    <w:rsid w:val="00664B95"/>
    <w:rsid w:val="00665A89"/>
    <w:rsid w:val="0066626C"/>
    <w:rsid w:val="00666844"/>
    <w:rsid w:val="00666D56"/>
    <w:rsid w:val="00667D05"/>
    <w:rsid w:val="00670AFB"/>
    <w:rsid w:val="006711A9"/>
    <w:rsid w:val="00671513"/>
    <w:rsid w:val="00671C15"/>
    <w:rsid w:val="0067241F"/>
    <w:rsid w:val="006726E1"/>
    <w:rsid w:val="00672A23"/>
    <w:rsid w:val="0067500A"/>
    <w:rsid w:val="0067611D"/>
    <w:rsid w:val="00676525"/>
    <w:rsid w:val="006779DA"/>
    <w:rsid w:val="0068057F"/>
    <w:rsid w:val="00680B36"/>
    <w:rsid w:val="00680CA8"/>
    <w:rsid w:val="00681350"/>
    <w:rsid w:val="00681B03"/>
    <w:rsid w:val="00681C49"/>
    <w:rsid w:val="00682AF4"/>
    <w:rsid w:val="00682DB2"/>
    <w:rsid w:val="0068340E"/>
    <w:rsid w:val="0068346E"/>
    <w:rsid w:val="006843C9"/>
    <w:rsid w:val="00684BE3"/>
    <w:rsid w:val="0068534A"/>
    <w:rsid w:val="006855C5"/>
    <w:rsid w:val="006862D0"/>
    <w:rsid w:val="006872CF"/>
    <w:rsid w:val="006872FC"/>
    <w:rsid w:val="00690090"/>
    <w:rsid w:val="00691007"/>
    <w:rsid w:val="00691253"/>
    <w:rsid w:val="00691CB7"/>
    <w:rsid w:val="00691F98"/>
    <w:rsid w:val="00692546"/>
    <w:rsid w:val="006938A2"/>
    <w:rsid w:val="00694446"/>
    <w:rsid w:val="00694A99"/>
    <w:rsid w:val="00696296"/>
    <w:rsid w:val="006966F5"/>
    <w:rsid w:val="00696C39"/>
    <w:rsid w:val="006A1760"/>
    <w:rsid w:val="006A236F"/>
    <w:rsid w:val="006A2966"/>
    <w:rsid w:val="006A37AE"/>
    <w:rsid w:val="006A3D78"/>
    <w:rsid w:val="006A413E"/>
    <w:rsid w:val="006A427F"/>
    <w:rsid w:val="006A4C7E"/>
    <w:rsid w:val="006A516D"/>
    <w:rsid w:val="006A598D"/>
    <w:rsid w:val="006A745C"/>
    <w:rsid w:val="006A7918"/>
    <w:rsid w:val="006A7CAB"/>
    <w:rsid w:val="006B16E1"/>
    <w:rsid w:val="006B1E66"/>
    <w:rsid w:val="006B23B1"/>
    <w:rsid w:val="006B2590"/>
    <w:rsid w:val="006B2DCF"/>
    <w:rsid w:val="006B497F"/>
    <w:rsid w:val="006B60D2"/>
    <w:rsid w:val="006B6385"/>
    <w:rsid w:val="006C21C6"/>
    <w:rsid w:val="006C23C1"/>
    <w:rsid w:val="006C24F3"/>
    <w:rsid w:val="006C4010"/>
    <w:rsid w:val="006C43F2"/>
    <w:rsid w:val="006C4604"/>
    <w:rsid w:val="006C47EB"/>
    <w:rsid w:val="006C5638"/>
    <w:rsid w:val="006C5BF4"/>
    <w:rsid w:val="006C6271"/>
    <w:rsid w:val="006C6279"/>
    <w:rsid w:val="006C67D0"/>
    <w:rsid w:val="006C6F88"/>
    <w:rsid w:val="006C77C3"/>
    <w:rsid w:val="006D03BD"/>
    <w:rsid w:val="006D1A78"/>
    <w:rsid w:val="006D1C61"/>
    <w:rsid w:val="006D27AA"/>
    <w:rsid w:val="006D2FE8"/>
    <w:rsid w:val="006D39F0"/>
    <w:rsid w:val="006D3E1A"/>
    <w:rsid w:val="006D4121"/>
    <w:rsid w:val="006D4421"/>
    <w:rsid w:val="006D464D"/>
    <w:rsid w:val="006D50A7"/>
    <w:rsid w:val="006D5704"/>
    <w:rsid w:val="006D6619"/>
    <w:rsid w:val="006D6922"/>
    <w:rsid w:val="006E0196"/>
    <w:rsid w:val="006E01ED"/>
    <w:rsid w:val="006E04AD"/>
    <w:rsid w:val="006E04DF"/>
    <w:rsid w:val="006E1210"/>
    <w:rsid w:val="006E1B0C"/>
    <w:rsid w:val="006E290C"/>
    <w:rsid w:val="006E37C4"/>
    <w:rsid w:val="006E3BDE"/>
    <w:rsid w:val="006E4E2F"/>
    <w:rsid w:val="006E5C3A"/>
    <w:rsid w:val="006E616D"/>
    <w:rsid w:val="006E734D"/>
    <w:rsid w:val="006E7A23"/>
    <w:rsid w:val="006F02ED"/>
    <w:rsid w:val="006F035A"/>
    <w:rsid w:val="006F0729"/>
    <w:rsid w:val="006F0923"/>
    <w:rsid w:val="006F1BB0"/>
    <w:rsid w:val="006F1DAA"/>
    <w:rsid w:val="006F1F5E"/>
    <w:rsid w:val="006F270F"/>
    <w:rsid w:val="006F2BC2"/>
    <w:rsid w:val="006F2D4B"/>
    <w:rsid w:val="006F46F5"/>
    <w:rsid w:val="006F4AB9"/>
    <w:rsid w:val="006F663A"/>
    <w:rsid w:val="006F72E9"/>
    <w:rsid w:val="007009F5"/>
    <w:rsid w:val="00701F18"/>
    <w:rsid w:val="00702934"/>
    <w:rsid w:val="00702F10"/>
    <w:rsid w:val="007036EE"/>
    <w:rsid w:val="00703891"/>
    <w:rsid w:val="007066B1"/>
    <w:rsid w:val="007076B1"/>
    <w:rsid w:val="00707D5B"/>
    <w:rsid w:val="00710164"/>
    <w:rsid w:val="0071059E"/>
    <w:rsid w:val="0071066A"/>
    <w:rsid w:val="00710A5F"/>
    <w:rsid w:val="00713BB5"/>
    <w:rsid w:val="0071415C"/>
    <w:rsid w:val="00715274"/>
    <w:rsid w:val="00716752"/>
    <w:rsid w:val="00716B32"/>
    <w:rsid w:val="00716E39"/>
    <w:rsid w:val="007174B8"/>
    <w:rsid w:val="0071752A"/>
    <w:rsid w:val="00717C31"/>
    <w:rsid w:val="00721057"/>
    <w:rsid w:val="007212B8"/>
    <w:rsid w:val="00721AC8"/>
    <w:rsid w:val="00722423"/>
    <w:rsid w:val="0072394A"/>
    <w:rsid w:val="00723B62"/>
    <w:rsid w:val="0072417D"/>
    <w:rsid w:val="00724651"/>
    <w:rsid w:val="00724BC5"/>
    <w:rsid w:val="00726B3A"/>
    <w:rsid w:val="00726FCB"/>
    <w:rsid w:val="00727092"/>
    <w:rsid w:val="00727A09"/>
    <w:rsid w:val="0073098D"/>
    <w:rsid w:val="0073101B"/>
    <w:rsid w:val="00731165"/>
    <w:rsid w:val="007314F8"/>
    <w:rsid w:val="00731916"/>
    <w:rsid w:val="00731A88"/>
    <w:rsid w:val="0073208B"/>
    <w:rsid w:val="00732266"/>
    <w:rsid w:val="00732B3F"/>
    <w:rsid w:val="00733CEE"/>
    <w:rsid w:val="00733D9E"/>
    <w:rsid w:val="00733FC4"/>
    <w:rsid w:val="00734086"/>
    <w:rsid w:val="00734F39"/>
    <w:rsid w:val="00735700"/>
    <w:rsid w:val="0073635F"/>
    <w:rsid w:val="00736861"/>
    <w:rsid w:val="00736AE7"/>
    <w:rsid w:val="00737A16"/>
    <w:rsid w:val="00740EB1"/>
    <w:rsid w:val="00741071"/>
    <w:rsid w:val="007410A9"/>
    <w:rsid w:val="007415E7"/>
    <w:rsid w:val="0074173F"/>
    <w:rsid w:val="00741F07"/>
    <w:rsid w:val="00742076"/>
    <w:rsid w:val="00743297"/>
    <w:rsid w:val="007439EA"/>
    <w:rsid w:val="00744C7C"/>
    <w:rsid w:val="007456EE"/>
    <w:rsid w:val="00745F8B"/>
    <w:rsid w:val="00747615"/>
    <w:rsid w:val="00750030"/>
    <w:rsid w:val="00751999"/>
    <w:rsid w:val="00752507"/>
    <w:rsid w:val="00753135"/>
    <w:rsid w:val="00753236"/>
    <w:rsid w:val="0075346D"/>
    <w:rsid w:val="00754817"/>
    <w:rsid w:val="00755D3C"/>
    <w:rsid w:val="0075604F"/>
    <w:rsid w:val="007564D9"/>
    <w:rsid w:val="00756857"/>
    <w:rsid w:val="00756945"/>
    <w:rsid w:val="00757493"/>
    <w:rsid w:val="007577B7"/>
    <w:rsid w:val="00757EA1"/>
    <w:rsid w:val="00762742"/>
    <w:rsid w:val="00762C31"/>
    <w:rsid w:val="0076306E"/>
    <w:rsid w:val="007632E7"/>
    <w:rsid w:val="00763A09"/>
    <w:rsid w:val="00764559"/>
    <w:rsid w:val="00764E42"/>
    <w:rsid w:val="007652D1"/>
    <w:rsid w:val="00767BF3"/>
    <w:rsid w:val="007703DC"/>
    <w:rsid w:val="00770B0B"/>
    <w:rsid w:val="00772C76"/>
    <w:rsid w:val="00772DFB"/>
    <w:rsid w:val="00773456"/>
    <w:rsid w:val="00774092"/>
    <w:rsid w:val="0077442D"/>
    <w:rsid w:val="00775BAD"/>
    <w:rsid w:val="00775F55"/>
    <w:rsid w:val="00776506"/>
    <w:rsid w:val="0077712A"/>
    <w:rsid w:val="00777452"/>
    <w:rsid w:val="00777463"/>
    <w:rsid w:val="00780256"/>
    <w:rsid w:val="007807F4"/>
    <w:rsid w:val="00780A01"/>
    <w:rsid w:val="00780A13"/>
    <w:rsid w:val="0078130D"/>
    <w:rsid w:val="00782A98"/>
    <w:rsid w:val="00785324"/>
    <w:rsid w:val="0078561A"/>
    <w:rsid w:val="00786467"/>
    <w:rsid w:val="00786CAA"/>
    <w:rsid w:val="00786D0D"/>
    <w:rsid w:val="0078700C"/>
    <w:rsid w:val="007879F8"/>
    <w:rsid w:val="00787F75"/>
    <w:rsid w:val="0079123A"/>
    <w:rsid w:val="0079136F"/>
    <w:rsid w:val="0079157A"/>
    <w:rsid w:val="007917E9"/>
    <w:rsid w:val="00791B57"/>
    <w:rsid w:val="007929DF"/>
    <w:rsid w:val="00792F03"/>
    <w:rsid w:val="00793836"/>
    <w:rsid w:val="0079581A"/>
    <w:rsid w:val="00796319"/>
    <w:rsid w:val="007970B7"/>
    <w:rsid w:val="007979BB"/>
    <w:rsid w:val="007A049F"/>
    <w:rsid w:val="007A057E"/>
    <w:rsid w:val="007A0B72"/>
    <w:rsid w:val="007A12BA"/>
    <w:rsid w:val="007A1D16"/>
    <w:rsid w:val="007A3ACC"/>
    <w:rsid w:val="007A3FBF"/>
    <w:rsid w:val="007A41F4"/>
    <w:rsid w:val="007A4959"/>
    <w:rsid w:val="007A4B17"/>
    <w:rsid w:val="007A782A"/>
    <w:rsid w:val="007B0933"/>
    <w:rsid w:val="007B11F1"/>
    <w:rsid w:val="007B1410"/>
    <w:rsid w:val="007B1DC6"/>
    <w:rsid w:val="007B22D8"/>
    <w:rsid w:val="007B3BEC"/>
    <w:rsid w:val="007B3F38"/>
    <w:rsid w:val="007B6F90"/>
    <w:rsid w:val="007B71A8"/>
    <w:rsid w:val="007B75D7"/>
    <w:rsid w:val="007C04C5"/>
    <w:rsid w:val="007C0880"/>
    <w:rsid w:val="007C0EA8"/>
    <w:rsid w:val="007C2479"/>
    <w:rsid w:val="007C2957"/>
    <w:rsid w:val="007C344A"/>
    <w:rsid w:val="007C49D2"/>
    <w:rsid w:val="007C5930"/>
    <w:rsid w:val="007C5F12"/>
    <w:rsid w:val="007C63A5"/>
    <w:rsid w:val="007C6E94"/>
    <w:rsid w:val="007C718B"/>
    <w:rsid w:val="007C789F"/>
    <w:rsid w:val="007D02A8"/>
    <w:rsid w:val="007D09E7"/>
    <w:rsid w:val="007D1480"/>
    <w:rsid w:val="007D1A5F"/>
    <w:rsid w:val="007D1DB7"/>
    <w:rsid w:val="007D2558"/>
    <w:rsid w:val="007D2A10"/>
    <w:rsid w:val="007D2F7D"/>
    <w:rsid w:val="007D5B32"/>
    <w:rsid w:val="007D6C59"/>
    <w:rsid w:val="007D6DFA"/>
    <w:rsid w:val="007E0199"/>
    <w:rsid w:val="007E05B6"/>
    <w:rsid w:val="007E08C1"/>
    <w:rsid w:val="007E1A19"/>
    <w:rsid w:val="007E1BA7"/>
    <w:rsid w:val="007E21E5"/>
    <w:rsid w:val="007E2C2C"/>
    <w:rsid w:val="007E2EEF"/>
    <w:rsid w:val="007E454F"/>
    <w:rsid w:val="007E59BE"/>
    <w:rsid w:val="007E5C53"/>
    <w:rsid w:val="007E608A"/>
    <w:rsid w:val="007E6144"/>
    <w:rsid w:val="007E7523"/>
    <w:rsid w:val="007E7C0B"/>
    <w:rsid w:val="007F0760"/>
    <w:rsid w:val="007F0921"/>
    <w:rsid w:val="007F1CD9"/>
    <w:rsid w:val="007F274F"/>
    <w:rsid w:val="007F3B48"/>
    <w:rsid w:val="007F585D"/>
    <w:rsid w:val="007F5873"/>
    <w:rsid w:val="007F5B7A"/>
    <w:rsid w:val="007F648B"/>
    <w:rsid w:val="007F7C8F"/>
    <w:rsid w:val="00800E9C"/>
    <w:rsid w:val="00801FED"/>
    <w:rsid w:val="00803340"/>
    <w:rsid w:val="00803422"/>
    <w:rsid w:val="008047D8"/>
    <w:rsid w:val="00805302"/>
    <w:rsid w:val="008057F8"/>
    <w:rsid w:val="00806026"/>
    <w:rsid w:val="00807F6C"/>
    <w:rsid w:val="0081214F"/>
    <w:rsid w:val="00812150"/>
    <w:rsid w:val="00813021"/>
    <w:rsid w:val="008130CB"/>
    <w:rsid w:val="008137F8"/>
    <w:rsid w:val="00814617"/>
    <w:rsid w:val="00815832"/>
    <w:rsid w:val="008158DC"/>
    <w:rsid w:val="008158FF"/>
    <w:rsid w:val="00815AAF"/>
    <w:rsid w:val="008162C3"/>
    <w:rsid w:val="008166DD"/>
    <w:rsid w:val="00817FDF"/>
    <w:rsid w:val="008203D0"/>
    <w:rsid w:val="008217ED"/>
    <w:rsid w:val="00821E8F"/>
    <w:rsid w:val="008222BA"/>
    <w:rsid w:val="00822504"/>
    <w:rsid w:val="0082276B"/>
    <w:rsid w:val="00822D92"/>
    <w:rsid w:val="00822E02"/>
    <w:rsid w:val="00823596"/>
    <w:rsid w:val="00823A25"/>
    <w:rsid w:val="00823AA0"/>
    <w:rsid w:val="00823DD2"/>
    <w:rsid w:val="00824556"/>
    <w:rsid w:val="008246A6"/>
    <w:rsid w:val="008255E5"/>
    <w:rsid w:val="00825B7F"/>
    <w:rsid w:val="0082616D"/>
    <w:rsid w:val="008268DF"/>
    <w:rsid w:val="00830199"/>
    <w:rsid w:val="008306C4"/>
    <w:rsid w:val="00831134"/>
    <w:rsid w:val="00832207"/>
    <w:rsid w:val="00832221"/>
    <w:rsid w:val="00832409"/>
    <w:rsid w:val="0083308A"/>
    <w:rsid w:val="008332B4"/>
    <w:rsid w:val="00833BB2"/>
    <w:rsid w:val="008340D1"/>
    <w:rsid w:val="00834845"/>
    <w:rsid w:val="008354AB"/>
    <w:rsid w:val="00835B0D"/>
    <w:rsid w:val="008400AE"/>
    <w:rsid w:val="008411F5"/>
    <w:rsid w:val="008414CE"/>
    <w:rsid w:val="00841974"/>
    <w:rsid w:val="008419A6"/>
    <w:rsid w:val="00841C51"/>
    <w:rsid w:val="00841DB7"/>
    <w:rsid w:val="00842C6E"/>
    <w:rsid w:val="00843102"/>
    <w:rsid w:val="008432D8"/>
    <w:rsid w:val="0084388F"/>
    <w:rsid w:val="00843A0F"/>
    <w:rsid w:val="0084599A"/>
    <w:rsid w:val="00845EF9"/>
    <w:rsid w:val="00847F55"/>
    <w:rsid w:val="0085139F"/>
    <w:rsid w:val="008518AD"/>
    <w:rsid w:val="00853A67"/>
    <w:rsid w:val="00855F59"/>
    <w:rsid w:val="00857D15"/>
    <w:rsid w:val="00860302"/>
    <w:rsid w:val="00861376"/>
    <w:rsid w:val="0086153E"/>
    <w:rsid w:val="0086164E"/>
    <w:rsid w:val="00861DD8"/>
    <w:rsid w:val="008625F5"/>
    <w:rsid w:val="00863ABB"/>
    <w:rsid w:val="008648C0"/>
    <w:rsid w:val="00864CDE"/>
    <w:rsid w:val="00866230"/>
    <w:rsid w:val="00866572"/>
    <w:rsid w:val="00866FB6"/>
    <w:rsid w:val="00867627"/>
    <w:rsid w:val="008700E9"/>
    <w:rsid w:val="0087015C"/>
    <w:rsid w:val="008701E1"/>
    <w:rsid w:val="008725AE"/>
    <w:rsid w:val="00872737"/>
    <w:rsid w:val="00874383"/>
    <w:rsid w:val="008751DC"/>
    <w:rsid w:val="008762F0"/>
    <w:rsid w:val="0087664E"/>
    <w:rsid w:val="008806E9"/>
    <w:rsid w:val="00880BAB"/>
    <w:rsid w:val="00880D1F"/>
    <w:rsid w:val="00882191"/>
    <w:rsid w:val="00882C1D"/>
    <w:rsid w:val="008836CF"/>
    <w:rsid w:val="00883CF7"/>
    <w:rsid w:val="008842BC"/>
    <w:rsid w:val="00884D53"/>
    <w:rsid w:val="00884DB4"/>
    <w:rsid w:val="00885FE2"/>
    <w:rsid w:val="0088728C"/>
    <w:rsid w:val="00887DAD"/>
    <w:rsid w:val="00890398"/>
    <w:rsid w:val="0089091D"/>
    <w:rsid w:val="00891262"/>
    <w:rsid w:val="0089450F"/>
    <w:rsid w:val="00896375"/>
    <w:rsid w:val="008963BC"/>
    <w:rsid w:val="00897F23"/>
    <w:rsid w:val="008A00A0"/>
    <w:rsid w:val="008A115F"/>
    <w:rsid w:val="008A2ED9"/>
    <w:rsid w:val="008A2FDD"/>
    <w:rsid w:val="008A3718"/>
    <w:rsid w:val="008A37A5"/>
    <w:rsid w:val="008A3EC6"/>
    <w:rsid w:val="008A400D"/>
    <w:rsid w:val="008A40BC"/>
    <w:rsid w:val="008A489F"/>
    <w:rsid w:val="008A61B0"/>
    <w:rsid w:val="008A71FA"/>
    <w:rsid w:val="008A72DD"/>
    <w:rsid w:val="008B022E"/>
    <w:rsid w:val="008B09CC"/>
    <w:rsid w:val="008B1060"/>
    <w:rsid w:val="008B2824"/>
    <w:rsid w:val="008B3FB8"/>
    <w:rsid w:val="008B44C5"/>
    <w:rsid w:val="008B5330"/>
    <w:rsid w:val="008B5646"/>
    <w:rsid w:val="008B56A3"/>
    <w:rsid w:val="008B716F"/>
    <w:rsid w:val="008B784D"/>
    <w:rsid w:val="008B7BA3"/>
    <w:rsid w:val="008C04C9"/>
    <w:rsid w:val="008C0A81"/>
    <w:rsid w:val="008C0F85"/>
    <w:rsid w:val="008C1262"/>
    <w:rsid w:val="008C18E2"/>
    <w:rsid w:val="008C2D30"/>
    <w:rsid w:val="008C3261"/>
    <w:rsid w:val="008C3BF7"/>
    <w:rsid w:val="008C4000"/>
    <w:rsid w:val="008C4AF6"/>
    <w:rsid w:val="008C51A5"/>
    <w:rsid w:val="008C5A58"/>
    <w:rsid w:val="008C5E78"/>
    <w:rsid w:val="008C652F"/>
    <w:rsid w:val="008C6DB6"/>
    <w:rsid w:val="008D1834"/>
    <w:rsid w:val="008D1995"/>
    <w:rsid w:val="008D2098"/>
    <w:rsid w:val="008D2362"/>
    <w:rsid w:val="008D4504"/>
    <w:rsid w:val="008D6A32"/>
    <w:rsid w:val="008D762E"/>
    <w:rsid w:val="008D76A0"/>
    <w:rsid w:val="008E0B66"/>
    <w:rsid w:val="008E124F"/>
    <w:rsid w:val="008E173C"/>
    <w:rsid w:val="008E1E36"/>
    <w:rsid w:val="008E3F76"/>
    <w:rsid w:val="008E4035"/>
    <w:rsid w:val="008E481E"/>
    <w:rsid w:val="008E4CA7"/>
    <w:rsid w:val="008E5005"/>
    <w:rsid w:val="008E573B"/>
    <w:rsid w:val="008E599C"/>
    <w:rsid w:val="008E5BF7"/>
    <w:rsid w:val="008E6A83"/>
    <w:rsid w:val="008E6D12"/>
    <w:rsid w:val="008E74CD"/>
    <w:rsid w:val="008E7E78"/>
    <w:rsid w:val="008E7E90"/>
    <w:rsid w:val="008F0633"/>
    <w:rsid w:val="008F166F"/>
    <w:rsid w:val="008F2405"/>
    <w:rsid w:val="008F2F73"/>
    <w:rsid w:val="008F43DC"/>
    <w:rsid w:val="008F45C9"/>
    <w:rsid w:val="008F49F9"/>
    <w:rsid w:val="008F6881"/>
    <w:rsid w:val="008F6E4C"/>
    <w:rsid w:val="00900D9C"/>
    <w:rsid w:val="00900DA1"/>
    <w:rsid w:val="00901770"/>
    <w:rsid w:val="009027ED"/>
    <w:rsid w:val="00903124"/>
    <w:rsid w:val="009038BF"/>
    <w:rsid w:val="00905B37"/>
    <w:rsid w:val="00907B53"/>
    <w:rsid w:val="00912F94"/>
    <w:rsid w:val="00913333"/>
    <w:rsid w:val="00913597"/>
    <w:rsid w:val="00913BC3"/>
    <w:rsid w:val="0091415B"/>
    <w:rsid w:val="00914C16"/>
    <w:rsid w:val="009163D6"/>
    <w:rsid w:val="00916A97"/>
    <w:rsid w:val="0091784D"/>
    <w:rsid w:val="00917D87"/>
    <w:rsid w:val="00917F76"/>
    <w:rsid w:val="00920709"/>
    <w:rsid w:val="00921DE9"/>
    <w:rsid w:val="0092270D"/>
    <w:rsid w:val="009232AC"/>
    <w:rsid w:val="00923B48"/>
    <w:rsid w:val="00924D8A"/>
    <w:rsid w:val="00926D8D"/>
    <w:rsid w:val="00926DC6"/>
    <w:rsid w:val="009277B8"/>
    <w:rsid w:val="009313CE"/>
    <w:rsid w:val="00931F4B"/>
    <w:rsid w:val="0093275B"/>
    <w:rsid w:val="009332DE"/>
    <w:rsid w:val="009335F3"/>
    <w:rsid w:val="00933FBF"/>
    <w:rsid w:val="009343B0"/>
    <w:rsid w:val="00935B1F"/>
    <w:rsid w:val="00935E4C"/>
    <w:rsid w:val="00935EE4"/>
    <w:rsid w:val="0093675D"/>
    <w:rsid w:val="00941CD8"/>
    <w:rsid w:val="00942EB8"/>
    <w:rsid w:val="009437F0"/>
    <w:rsid w:val="0094500D"/>
    <w:rsid w:val="009450F1"/>
    <w:rsid w:val="00945A10"/>
    <w:rsid w:val="009464DF"/>
    <w:rsid w:val="00946A73"/>
    <w:rsid w:val="00947796"/>
    <w:rsid w:val="00950845"/>
    <w:rsid w:val="0095111F"/>
    <w:rsid w:val="009521AF"/>
    <w:rsid w:val="00952E85"/>
    <w:rsid w:val="009537D6"/>
    <w:rsid w:val="009539E2"/>
    <w:rsid w:val="00954FBD"/>
    <w:rsid w:val="00956206"/>
    <w:rsid w:val="00956946"/>
    <w:rsid w:val="00956AAA"/>
    <w:rsid w:val="009606C5"/>
    <w:rsid w:val="00962967"/>
    <w:rsid w:val="00962B3A"/>
    <w:rsid w:val="00962E7C"/>
    <w:rsid w:val="00963010"/>
    <w:rsid w:val="009633DF"/>
    <w:rsid w:val="009641F4"/>
    <w:rsid w:val="009652C1"/>
    <w:rsid w:val="009654A8"/>
    <w:rsid w:val="00967500"/>
    <w:rsid w:val="00967D6F"/>
    <w:rsid w:val="00970CA7"/>
    <w:rsid w:val="009715F7"/>
    <w:rsid w:val="00972C94"/>
    <w:rsid w:val="00973BA3"/>
    <w:rsid w:val="00973D7E"/>
    <w:rsid w:val="00974084"/>
    <w:rsid w:val="009748B4"/>
    <w:rsid w:val="00974C5D"/>
    <w:rsid w:val="0097689A"/>
    <w:rsid w:val="00977283"/>
    <w:rsid w:val="00977932"/>
    <w:rsid w:val="00977E1E"/>
    <w:rsid w:val="00980FB9"/>
    <w:rsid w:val="00982371"/>
    <w:rsid w:val="0098245E"/>
    <w:rsid w:val="009824E0"/>
    <w:rsid w:val="009828CD"/>
    <w:rsid w:val="009829A8"/>
    <w:rsid w:val="00982ACB"/>
    <w:rsid w:val="00983331"/>
    <w:rsid w:val="00983EDE"/>
    <w:rsid w:val="0098437B"/>
    <w:rsid w:val="0098452C"/>
    <w:rsid w:val="009863B6"/>
    <w:rsid w:val="00986501"/>
    <w:rsid w:val="00986C74"/>
    <w:rsid w:val="00986E24"/>
    <w:rsid w:val="00990442"/>
    <w:rsid w:val="00990EEF"/>
    <w:rsid w:val="009912BF"/>
    <w:rsid w:val="009913B9"/>
    <w:rsid w:val="00991875"/>
    <w:rsid w:val="00991C6B"/>
    <w:rsid w:val="0099409C"/>
    <w:rsid w:val="00994FC1"/>
    <w:rsid w:val="00997A09"/>
    <w:rsid w:val="009A0094"/>
    <w:rsid w:val="009A11B5"/>
    <w:rsid w:val="009A1339"/>
    <w:rsid w:val="009A17A1"/>
    <w:rsid w:val="009A24FA"/>
    <w:rsid w:val="009A3ADB"/>
    <w:rsid w:val="009A5147"/>
    <w:rsid w:val="009A5288"/>
    <w:rsid w:val="009A5DE3"/>
    <w:rsid w:val="009A6069"/>
    <w:rsid w:val="009A6435"/>
    <w:rsid w:val="009A6B0A"/>
    <w:rsid w:val="009A7CCD"/>
    <w:rsid w:val="009B027F"/>
    <w:rsid w:val="009B060E"/>
    <w:rsid w:val="009B160D"/>
    <w:rsid w:val="009B5DE3"/>
    <w:rsid w:val="009B65AE"/>
    <w:rsid w:val="009B6E39"/>
    <w:rsid w:val="009C1B9A"/>
    <w:rsid w:val="009C3DA9"/>
    <w:rsid w:val="009C79AE"/>
    <w:rsid w:val="009D01CE"/>
    <w:rsid w:val="009D14B0"/>
    <w:rsid w:val="009D245E"/>
    <w:rsid w:val="009D360F"/>
    <w:rsid w:val="009D516D"/>
    <w:rsid w:val="009D56B7"/>
    <w:rsid w:val="009D6FBA"/>
    <w:rsid w:val="009D762D"/>
    <w:rsid w:val="009D7E9B"/>
    <w:rsid w:val="009E0284"/>
    <w:rsid w:val="009E19E5"/>
    <w:rsid w:val="009E38B6"/>
    <w:rsid w:val="009E3D02"/>
    <w:rsid w:val="009E4146"/>
    <w:rsid w:val="009E4357"/>
    <w:rsid w:val="009E748F"/>
    <w:rsid w:val="009F0C71"/>
    <w:rsid w:val="009F1729"/>
    <w:rsid w:val="009F18DC"/>
    <w:rsid w:val="009F1DDE"/>
    <w:rsid w:val="009F2137"/>
    <w:rsid w:val="009F3796"/>
    <w:rsid w:val="009F39FF"/>
    <w:rsid w:val="009F3F4F"/>
    <w:rsid w:val="009F41B0"/>
    <w:rsid w:val="009F46E8"/>
    <w:rsid w:val="009F497A"/>
    <w:rsid w:val="009F5C8F"/>
    <w:rsid w:val="009F6389"/>
    <w:rsid w:val="009F6F85"/>
    <w:rsid w:val="00A002D2"/>
    <w:rsid w:val="00A01493"/>
    <w:rsid w:val="00A028E7"/>
    <w:rsid w:val="00A04EF4"/>
    <w:rsid w:val="00A05E92"/>
    <w:rsid w:val="00A06D36"/>
    <w:rsid w:val="00A07FDB"/>
    <w:rsid w:val="00A10288"/>
    <w:rsid w:val="00A1068D"/>
    <w:rsid w:val="00A11F0B"/>
    <w:rsid w:val="00A13636"/>
    <w:rsid w:val="00A13CA5"/>
    <w:rsid w:val="00A1598B"/>
    <w:rsid w:val="00A15C18"/>
    <w:rsid w:val="00A16112"/>
    <w:rsid w:val="00A1618D"/>
    <w:rsid w:val="00A2016F"/>
    <w:rsid w:val="00A210B8"/>
    <w:rsid w:val="00A22CFB"/>
    <w:rsid w:val="00A22EB5"/>
    <w:rsid w:val="00A23E26"/>
    <w:rsid w:val="00A248D1"/>
    <w:rsid w:val="00A257C0"/>
    <w:rsid w:val="00A2630A"/>
    <w:rsid w:val="00A26406"/>
    <w:rsid w:val="00A2714F"/>
    <w:rsid w:val="00A27A05"/>
    <w:rsid w:val="00A27BD5"/>
    <w:rsid w:val="00A27C5B"/>
    <w:rsid w:val="00A27E32"/>
    <w:rsid w:val="00A3122A"/>
    <w:rsid w:val="00A313A9"/>
    <w:rsid w:val="00A337A6"/>
    <w:rsid w:val="00A33823"/>
    <w:rsid w:val="00A3391A"/>
    <w:rsid w:val="00A35023"/>
    <w:rsid w:val="00A37A82"/>
    <w:rsid w:val="00A37DE0"/>
    <w:rsid w:val="00A405EB"/>
    <w:rsid w:val="00A40827"/>
    <w:rsid w:val="00A40A80"/>
    <w:rsid w:val="00A40D4C"/>
    <w:rsid w:val="00A4232A"/>
    <w:rsid w:val="00A429B8"/>
    <w:rsid w:val="00A43D4A"/>
    <w:rsid w:val="00A469CE"/>
    <w:rsid w:val="00A46AEC"/>
    <w:rsid w:val="00A4764C"/>
    <w:rsid w:val="00A51B78"/>
    <w:rsid w:val="00A51BB0"/>
    <w:rsid w:val="00A51DC0"/>
    <w:rsid w:val="00A53873"/>
    <w:rsid w:val="00A53AA4"/>
    <w:rsid w:val="00A547F2"/>
    <w:rsid w:val="00A54D71"/>
    <w:rsid w:val="00A54DE2"/>
    <w:rsid w:val="00A5534B"/>
    <w:rsid w:val="00A557E6"/>
    <w:rsid w:val="00A55F86"/>
    <w:rsid w:val="00A56084"/>
    <w:rsid w:val="00A563FD"/>
    <w:rsid w:val="00A56C3B"/>
    <w:rsid w:val="00A57D68"/>
    <w:rsid w:val="00A6046B"/>
    <w:rsid w:val="00A60A54"/>
    <w:rsid w:val="00A61D0D"/>
    <w:rsid w:val="00A61EE1"/>
    <w:rsid w:val="00A61FA5"/>
    <w:rsid w:val="00A62C45"/>
    <w:rsid w:val="00A63916"/>
    <w:rsid w:val="00A64A50"/>
    <w:rsid w:val="00A6652A"/>
    <w:rsid w:val="00A6659D"/>
    <w:rsid w:val="00A67F87"/>
    <w:rsid w:val="00A70A2A"/>
    <w:rsid w:val="00A70BAF"/>
    <w:rsid w:val="00A70C77"/>
    <w:rsid w:val="00A7133A"/>
    <w:rsid w:val="00A71901"/>
    <w:rsid w:val="00A71983"/>
    <w:rsid w:val="00A71CA7"/>
    <w:rsid w:val="00A71EF5"/>
    <w:rsid w:val="00A727AE"/>
    <w:rsid w:val="00A73D58"/>
    <w:rsid w:val="00A75E3C"/>
    <w:rsid w:val="00A7616B"/>
    <w:rsid w:val="00A8038A"/>
    <w:rsid w:val="00A814CC"/>
    <w:rsid w:val="00A837FD"/>
    <w:rsid w:val="00A83A23"/>
    <w:rsid w:val="00A83E49"/>
    <w:rsid w:val="00A845D5"/>
    <w:rsid w:val="00A847F8"/>
    <w:rsid w:val="00A84C9D"/>
    <w:rsid w:val="00A851A4"/>
    <w:rsid w:val="00A85BDE"/>
    <w:rsid w:val="00A863AD"/>
    <w:rsid w:val="00A864B2"/>
    <w:rsid w:val="00A92827"/>
    <w:rsid w:val="00A94E60"/>
    <w:rsid w:val="00A94F22"/>
    <w:rsid w:val="00A9593E"/>
    <w:rsid w:val="00A96665"/>
    <w:rsid w:val="00A96A80"/>
    <w:rsid w:val="00A96F9C"/>
    <w:rsid w:val="00A97738"/>
    <w:rsid w:val="00AA0720"/>
    <w:rsid w:val="00AA1353"/>
    <w:rsid w:val="00AA2A7A"/>
    <w:rsid w:val="00AA414E"/>
    <w:rsid w:val="00AA45E0"/>
    <w:rsid w:val="00AA5D72"/>
    <w:rsid w:val="00AA6031"/>
    <w:rsid w:val="00AA7226"/>
    <w:rsid w:val="00AA7A7E"/>
    <w:rsid w:val="00AA7D3B"/>
    <w:rsid w:val="00AA7E62"/>
    <w:rsid w:val="00AB0AE1"/>
    <w:rsid w:val="00AB0B3B"/>
    <w:rsid w:val="00AB1447"/>
    <w:rsid w:val="00AB1858"/>
    <w:rsid w:val="00AB1DAD"/>
    <w:rsid w:val="00AB1F30"/>
    <w:rsid w:val="00AB2823"/>
    <w:rsid w:val="00AB3302"/>
    <w:rsid w:val="00AB3E26"/>
    <w:rsid w:val="00AB59D2"/>
    <w:rsid w:val="00AB5FD5"/>
    <w:rsid w:val="00AB6045"/>
    <w:rsid w:val="00AB61DA"/>
    <w:rsid w:val="00AB6B95"/>
    <w:rsid w:val="00AC071F"/>
    <w:rsid w:val="00AC08B2"/>
    <w:rsid w:val="00AC28A0"/>
    <w:rsid w:val="00AC341B"/>
    <w:rsid w:val="00AC44DA"/>
    <w:rsid w:val="00AC46F1"/>
    <w:rsid w:val="00AC4CE1"/>
    <w:rsid w:val="00AC51E6"/>
    <w:rsid w:val="00AC6158"/>
    <w:rsid w:val="00AC632F"/>
    <w:rsid w:val="00AC742C"/>
    <w:rsid w:val="00AD2EA7"/>
    <w:rsid w:val="00AD4939"/>
    <w:rsid w:val="00AD4E4B"/>
    <w:rsid w:val="00AD5427"/>
    <w:rsid w:val="00AD58D4"/>
    <w:rsid w:val="00AD597E"/>
    <w:rsid w:val="00AD5CCD"/>
    <w:rsid w:val="00AD6545"/>
    <w:rsid w:val="00AD7E43"/>
    <w:rsid w:val="00AE02FF"/>
    <w:rsid w:val="00AE2962"/>
    <w:rsid w:val="00AE2DA4"/>
    <w:rsid w:val="00AE3AC2"/>
    <w:rsid w:val="00AE3CAF"/>
    <w:rsid w:val="00AE3D9F"/>
    <w:rsid w:val="00AE456E"/>
    <w:rsid w:val="00AE4A0A"/>
    <w:rsid w:val="00AE610F"/>
    <w:rsid w:val="00AE652E"/>
    <w:rsid w:val="00AF0294"/>
    <w:rsid w:val="00AF04BD"/>
    <w:rsid w:val="00AF0676"/>
    <w:rsid w:val="00AF0E18"/>
    <w:rsid w:val="00AF1097"/>
    <w:rsid w:val="00AF31DC"/>
    <w:rsid w:val="00AF4E6B"/>
    <w:rsid w:val="00AF60D2"/>
    <w:rsid w:val="00AF69D6"/>
    <w:rsid w:val="00AF7D49"/>
    <w:rsid w:val="00B00187"/>
    <w:rsid w:val="00B00E54"/>
    <w:rsid w:val="00B0107D"/>
    <w:rsid w:val="00B01A1F"/>
    <w:rsid w:val="00B02064"/>
    <w:rsid w:val="00B0235D"/>
    <w:rsid w:val="00B02424"/>
    <w:rsid w:val="00B024CF"/>
    <w:rsid w:val="00B02AC1"/>
    <w:rsid w:val="00B02E9C"/>
    <w:rsid w:val="00B033DB"/>
    <w:rsid w:val="00B070DD"/>
    <w:rsid w:val="00B1015B"/>
    <w:rsid w:val="00B103E2"/>
    <w:rsid w:val="00B11C70"/>
    <w:rsid w:val="00B12775"/>
    <w:rsid w:val="00B1429C"/>
    <w:rsid w:val="00B1489E"/>
    <w:rsid w:val="00B15EDD"/>
    <w:rsid w:val="00B175BE"/>
    <w:rsid w:val="00B17B6A"/>
    <w:rsid w:val="00B2106F"/>
    <w:rsid w:val="00B21A6F"/>
    <w:rsid w:val="00B21CDF"/>
    <w:rsid w:val="00B23F31"/>
    <w:rsid w:val="00B24EBB"/>
    <w:rsid w:val="00B26F44"/>
    <w:rsid w:val="00B27220"/>
    <w:rsid w:val="00B27F99"/>
    <w:rsid w:val="00B30854"/>
    <w:rsid w:val="00B31B48"/>
    <w:rsid w:val="00B31F63"/>
    <w:rsid w:val="00B320C2"/>
    <w:rsid w:val="00B33849"/>
    <w:rsid w:val="00B33DDE"/>
    <w:rsid w:val="00B34071"/>
    <w:rsid w:val="00B346EE"/>
    <w:rsid w:val="00B34ABB"/>
    <w:rsid w:val="00B34B59"/>
    <w:rsid w:val="00B35E96"/>
    <w:rsid w:val="00B362A2"/>
    <w:rsid w:val="00B37EF6"/>
    <w:rsid w:val="00B40EC0"/>
    <w:rsid w:val="00B4140C"/>
    <w:rsid w:val="00B41FE9"/>
    <w:rsid w:val="00B42A60"/>
    <w:rsid w:val="00B42B9F"/>
    <w:rsid w:val="00B42D02"/>
    <w:rsid w:val="00B43062"/>
    <w:rsid w:val="00B4396D"/>
    <w:rsid w:val="00B445BB"/>
    <w:rsid w:val="00B44C96"/>
    <w:rsid w:val="00B44F9A"/>
    <w:rsid w:val="00B470D9"/>
    <w:rsid w:val="00B47E46"/>
    <w:rsid w:val="00B5103B"/>
    <w:rsid w:val="00B517CA"/>
    <w:rsid w:val="00B52B6A"/>
    <w:rsid w:val="00B5530A"/>
    <w:rsid w:val="00B565E0"/>
    <w:rsid w:val="00B57A3F"/>
    <w:rsid w:val="00B60067"/>
    <w:rsid w:val="00B6112B"/>
    <w:rsid w:val="00B61FE1"/>
    <w:rsid w:val="00B62979"/>
    <w:rsid w:val="00B63574"/>
    <w:rsid w:val="00B636F0"/>
    <w:rsid w:val="00B63CF3"/>
    <w:rsid w:val="00B6442E"/>
    <w:rsid w:val="00B67884"/>
    <w:rsid w:val="00B678A6"/>
    <w:rsid w:val="00B727F9"/>
    <w:rsid w:val="00B72A6C"/>
    <w:rsid w:val="00B74903"/>
    <w:rsid w:val="00B767D9"/>
    <w:rsid w:val="00B76850"/>
    <w:rsid w:val="00B77A24"/>
    <w:rsid w:val="00B82175"/>
    <w:rsid w:val="00B82633"/>
    <w:rsid w:val="00B82F2B"/>
    <w:rsid w:val="00B83229"/>
    <w:rsid w:val="00B83240"/>
    <w:rsid w:val="00B838F3"/>
    <w:rsid w:val="00B83B84"/>
    <w:rsid w:val="00B84D49"/>
    <w:rsid w:val="00B850A4"/>
    <w:rsid w:val="00B85932"/>
    <w:rsid w:val="00B86176"/>
    <w:rsid w:val="00B91386"/>
    <w:rsid w:val="00B9258D"/>
    <w:rsid w:val="00B926E8"/>
    <w:rsid w:val="00B93AFD"/>
    <w:rsid w:val="00B94B23"/>
    <w:rsid w:val="00B95125"/>
    <w:rsid w:val="00B95EB5"/>
    <w:rsid w:val="00B97208"/>
    <w:rsid w:val="00B97409"/>
    <w:rsid w:val="00BA08F8"/>
    <w:rsid w:val="00BA0C20"/>
    <w:rsid w:val="00BA0E49"/>
    <w:rsid w:val="00BA192C"/>
    <w:rsid w:val="00BA311A"/>
    <w:rsid w:val="00BA322C"/>
    <w:rsid w:val="00BA39A7"/>
    <w:rsid w:val="00BA45DE"/>
    <w:rsid w:val="00BA4651"/>
    <w:rsid w:val="00BA4C5F"/>
    <w:rsid w:val="00BA6E31"/>
    <w:rsid w:val="00BB379A"/>
    <w:rsid w:val="00BB5FB4"/>
    <w:rsid w:val="00BB62E2"/>
    <w:rsid w:val="00BB685B"/>
    <w:rsid w:val="00BB751E"/>
    <w:rsid w:val="00BC0B70"/>
    <w:rsid w:val="00BC1225"/>
    <w:rsid w:val="00BC130C"/>
    <w:rsid w:val="00BC1E61"/>
    <w:rsid w:val="00BC2846"/>
    <w:rsid w:val="00BC2915"/>
    <w:rsid w:val="00BC2956"/>
    <w:rsid w:val="00BC32EF"/>
    <w:rsid w:val="00BC391F"/>
    <w:rsid w:val="00BC401F"/>
    <w:rsid w:val="00BC4AC2"/>
    <w:rsid w:val="00BC563C"/>
    <w:rsid w:val="00BC5A6D"/>
    <w:rsid w:val="00BC6698"/>
    <w:rsid w:val="00BC6918"/>
    <w:rsid w:val="00BC756B"/>
    <w:rsid w:val="00BC7BF1"/>
    <w:rsid w:val="00BC7EDA"/>
    <w:rsid w:val="00BD0148"/>
    <w:rsid w:val="00BD0AE1"/>
    <w:rsid w:val="00BD2886"/>
    <w:rsid w:val="00BD33D6"/>
    <w:rsid w:val="00BD3CF1"/>
    <w:rsid w:val="00BD42B3"/>
    <w:rsid w:val="00BD58C3"/>
    <w:rsid w:val="00BD5E07"/>
    <w:rsid w:val="00BD61E3"/>
    <w:rsid w:val="00BD64A8"/>
    <w:rsid w:val="00BD6663"/>
    <w:rsid w:val="00BD7401"/>
    <w:rsid w:val="00BD7A39"/>
    <w:rsid w:val="00BD7C21"/>
    <w:rsid w:val="00BE0CED"/>
    <w:rsid w:val="00BE0E86"/>
    <w:rsid w:val="00BE2F34"/>
    <w:rsid w:val="00BE361A"/>
    <w:rsid w:val="00BE3957"/>
    <w:rsid w:val="00BE3E09"/>
    <w:rsid w:val="00BE4DC0"/>
    <w:rsid w:val="00BE5154"/>
    <w:rsid w:val="00BE5F76"/>
    <w:rsid w:val="00BE6A8B"/>
    <w:rsid w:val="00BE7471"/>
    <w:rsid w:val="00BF0CD5"/>
    <w:rsid w:val="00BF30E4"/>
    <w:rsid w:val="00BF45A1"/>
    <w:rsid w:val="00BF471B"/>
    <w:rsid w:val="00BF6835"/>
    <w:rsid w:val="00C0198A"/>
    <w:rsid w:val="00C0298A"/>
    <w:rsid w:val="00C02A55"/>
    <w:rsid w:val="00C04024"/>
    <w:rsid w:val="00C04417"/>
    <w:rsid w:val="00C04F69"/>
    <w:rsid w:val="00C05918"/>
    <w:rsid w:val="00C079BF"/>
    <w:rsid w:val="00C07B5E"/>
    <w:rsid w:val="00C10218"/>
    <w:rsid w:val="00C10938"/>
    <w:rsid w:val="00C10F0C"/>
    <w:rsid w:val="00C11422"/>
    <w:rsid w:val="00C11704"/>
    <w:rsid w:val="00C11ADA"/>
    <w:rsid w:val="00C12266"/>
    <w:rsid w:val="00C12376"/>
    <w:rsid w:val="00C127C2"/>
    <w:rsid w:val="00C12897"/>
    <w:rsid w:val="00C13883"/>
    <w:rsid w:val="00C13C90"/>
    <w:rsid w:val="00C14587"/>
    <w:rsid w:val="00C14A20"/>
    <w:rsid w:val="00C16559"/>
    <w:rsid w:val="00C171AA"/>
    <w:rsid w:val="00C2117D"/>
    <w:rsid w:val="00C212DA"/>
    <w:rsid w:val="00C21B21"/>
    <w:rsid w:val="00C21B2F"/>
    <w:rsid w:val="00C21DDC"/>
    <w:rsid w:val="00C225FE"/>
    <w:rsid w:val="00C22FE5"/>
    <w:rsid w:val="00C23643"/>
    <w:rsid w:val="00C260CB"/>
    <w:rsid w:val="00C26719"/>
    <w:rsid w:val="00C274CE"/>
    <w:rsid w:val="00C27EF3"/>
    <w:rsid w:val="00C306B1"/>
    <w:rsid w:val="00C309C8"/>
    <w:rsid w:val="00C30E2F"/>
    <w:rsid w:val="00C30F4E"/>
    <w:rsid w:val="00C322A6"/>
    <w:rsid w:val="00C32A6F"/>
    <w:rsid w:val="00C32B4C"/>
    <w:rsid w:val="00C32B8F"/>
    <w:rsid w:val="00C32E1E"/>
    <w:rsid w:val="00C32F09"/>
    <w:rsid w:val="00C34B46"/>
    <w:rsid w:val="00C34D03"/>
    <w:rsid w:val="00C3527B"/>
    <w:rsid w:val="00C36635"/>
    <w:rsid w:val="00C36A22"/>
    <w:rsid w:val="00C37C04"/>
    <w:rsid w:val="00C40A77"/>
    <w:rsid w:val="00C40F8D"/>
    <w:rsid w:val="00C413E5"/>
    <w:rsid w:val="00C42C2C"/>
    <w:rsid w:val="00C4304C"/>
    <w:rsid w:val="00C44A0C"/>
    <w:rsid w:val="00C44E13"/>
    <w:rsid w:val="00C45D88"/>
    <w:rsid w:val="00C46157"/>
    <w:rsid w:val="00C466E5"/>
    <w:rsid w:val="00C47295"/>
    <w:rsid w:val="00C501E2"/>
    <w:rsid w:val="00C51B2E"/>
    <w:rsid w:val="00C542C4"/>
    <w:rsid w:val="00C54DFC"/>
    <w:rsid w:val="00C55D7E"/>
    <w:rsid w:val="00C5736B"/>
    <w:rsid w:val="00C57AA2"/>
    <w:rsid w:val="00C60F69"/>
    <w:rsid w:val="00C60FE0"/>
    <w:rsid w:val="00C62412"/>
    <w:rsid w:val="00C62BA1"/>
    <w:rsid w:val="00C6316E"/>
    <w:rsid w:val="00C63FD8"/>
    <w:rsid w:val="00C64533"/>
    <w:rsid w:val="00C64804"/>
    <w:rsid w:val="00C64A2B"/>
    <w:rsid w:val="00C6500C"/>
    <w:rsid w:val="00C652FA"/>
    <w:rsid w:val="00C65547"/>
    <w:rsid w:val="00C65B36"/>
    <w:rsid w:val="00C65EF1"/>
    <w:rsid w:val="00C661AF"/>
    <w:rsid w:val="00C6684D"/>
    <w:rsid w:val="00C67079"/>
    <w:rsid w:val="00C70101"/>
    <w:rsid w:val="00C70481"/>
    <w:rsid w:val="00C723AF"/>
    <w:rsid w:val="00C72F77"/>
    <w:rsid w:val="00C7360D"/>
    <w:rsid w:val="00C74391"/>
    <w:rsid w:val="00C76839"/>
    <w:rsid w:val="00C77361"/>
    <w:rsid w:val="00C776E6"/>
    <w:rsid w:val="00C77E41"/>
    <w:rsid w:val="00C80AC0"/>
    <w:rsid w:val="00C8168B"/>
    <w:rsid w:val="00C82585"/>
    <w:rsid w:val="00C82927"/>
    <w:rsid w:val="00C82E33"/>
    <w:rsid w:val="00C82FAE"/>
    <w:rsid w:val="00C833D0"/>
    <w:rsid w:val="00C83FAE"/>
    <w:rsid w:val="00C84804"/>
    <w:rsid w:val="00C84878"/>
    <w:rsid w:val="00C8515C"/>
    <w:rsid w:val="00C85A7B"/>
    <w:rsid w:val="00C86EA6"/>
    <w:rsid w:val="00C872EA"/>
    <w:rsid w:val="00C87A52"/>
    <w:rsid w:val="00C911B7"/>
    <w:rsid w:val="00C91C62"/>
    <w:rsid w:val="00C9229A"/>
    <w:rsid w:val="00C9477F"/>
    <w:rsid w:val="00C9631B"/>
    <w:rsid w:val="00C970DD"/>
    <w:rsid w:val="00C97C48"/>
    <w:rsid w:val="00CA029B"/>
    <w:rsid w:val="00CA2060"/>
    <w:rsid w:val="00CA2229"/>
    <w:rsid w:val="00CA2F67"/>
    <w:rsid w:val="00CA301E"/>
    <w:rsid w:val="00CA479E"/>
    <w:rsid w:val="00CA4DBA"/>
    <w:rsid w:val="00CA671A"/>
    <w:rsid w:val="00CA69F5"/>
    <w:rsid w:val="00CA7162"/>
    <w:rsid w:val="00CB0496"/>
    <w:rsid w:val="00CB051F"/>
    <w:rsid w:val="00CB1BEF"/>
    <w:rsid w:val="00CB5249"/>
    <w:rsid w:val="00CB5D4D"/>
    <w:rsid w:val="00CB62CD"/>
    <w:rsid w:val="00CB66CB"/>
    <w:rsid w:val="00CB6A3A"/>
    <w:rsid w:val="00CB74E2"/>
    <w:rsid w:val="00CB7A53"/>
    <w:rsid w:val="00CC0637"/>
    <w:rsid w:val="00CC14E6"/>
    <w:rsid w:val="00CC1CE0"/>
    <w:rsid w:val="00CC3184"/>
    <w:rsid w:val="00CC3F4B"/>
    <w:rsid w:val="00CC5AB0"/>
    <w:rsid w:val="00CC5D41"/>
    <w:rsid w:val="00CC6527"/>
    <w:rsid w:val="00CC65AC"/>
    <w:rsid w:val="00CC6A5A"/>
    <w:rsid w:val="00CC7083"/>
    <w:rsid w:val="00CC7A5B"/>
    <w:rsid w:val="00CD11BA"/>
    <w:rsid w:val="00CD299B"/>
    <w:rsid w:val="00CD2C56"/>
    <w:rsid w:val="00CD2E94"/>
    <w:rsid w:val="00CD37A3"/>
    <w:rsid w:val="00CD399B"/>
    <w:rsid w:val="00CD4319"/>
    <w:rsid w:val="00CD4F46"/>
    <w:rsid w:val="00CD5978"/>
    <w:rsid w:val="00CD5D2B"/>
    <w:rsid w:val="00CD6319"/>
    <w:rsid w:val="00CD6569"/>
    <w:rsid w:val="00CD6988"/>
    <w:rsid w:val="00CD7AD4"/>
    <w:rsid w:val="00CE02D2"/>
    <w:rsid w:val="00CE12FE"/>
    <w:rsid w:val="00CE1519"/>
    <w:rsid w:val="00CE1905"/>
    <w:rsid w:val="00CE1BA1"/>
    <w:rsid w:val="00CE2F8B"/>
    <w:rsid w:val="00CE3CA9"/>
    <w:rsid w:val="00CE52AB"/>
    <w:rsid w:val="00CE59A0"/>
    <w:rsid w:val="00CF03E3"/>
    <w:rsid w:val="00CF0D0A"/>
    <w:rsid w:val="00CF11DB"/>
    <w:rsid w:val="00CF121D"/>
    <w:rsid w:val="00CF284E"/>
    <w:rsid w:val="00CF2C0E"/>
    <w:rsid w:val="00CF3036"/>
    <w:rsid w:val="00CF3848"/>
    <w:rsid w:val="00CF3C64"/>
    <w:rsid w:val="00CF3EC0"/>
    <w:rsid w:val="00CF4C84"/>
    <w:rsid w:val="00CF57E8"/>
    <w:rsid w:val="00CF7295"/>
    <w:rsid w:val="00CF76CB"/>
    <w:rsid w:val="00D00125"/>
    <w:rsid w:val="00D00213"/>
    <w:rsid w:val="00D00F20"/>
    <w:rsid w:val="00D022DB"/>
    <w:rsid w:val="00D02A14"/>
    <w:rsid w:val="00D02B6E"/>
    <w:rsid w:val="00D03F11"/>
    <w:rsid w:val="00D05538"/>
    <w:rsid w:val="00D05A1B"/>
    <w:rsid w:val="00D05EFA"/>
    <w:rsid w:val="00D05F35"/>
    <w:rsid w:val="00D07073"/>
    <w:rsid w:val="00D07111"/>
    <w:rsid w:val="00D10FCA"/>
    <w:rsid w:val="00D11060"/>
    <w:rsid w:val="00D12E05"/>
    <w:rsid w:val="00D13E56"/>
    <w:rsid w:val="00D148CF"/>
    <w:rsid w:val="00D163DE"/>
    <w:rsid w:val="00D167CF"/>
    <w:rsid w:val="00D168ED"/>
    <w:rsid w:val="00D178D2"/>
    <w:rsid w:val="00D17A8D"/>
    <w:rsid w:val="00D204DB"/>
    <w:rsid w:val="00D207FE"/>
    <w:rsid w:val="00D217A9"/>
    <w:rsid w:val="00D225C7"/>
    <w:rsid w:val="00D22CAA"/>
    <w:rsid w:val="00D231B8"/>
    <w:rsid w:val="00D24279"/>
    <w:rsid w:val="00D24408"/>
    <w:rsid w:val="00D244C2"/>
    <w:rsid w:val="00D25F29"/>
    <w:rsid w:val="00D26195"/>
    <w:rsid w:val="00D266F5"/>
    <w:rsid w:val="00D26941"/>
    <w:rsid w:val="00D26DDD"/>
    <w:rsid w:val="00D2706F"/>
    <w:rsid w:val="00D27F2B"/>
    <w:rsid w:val="00D30550"/>
    <w:rsid w:val="00D3108E"/>
    <w:rsid w:val="00D3127A"/>
    <w:rsid w:val="00D312A4"/>
    <w:rsid w:val="00D31A0C"/>
    <w:rsid w:val="00D31E4D"/>
    <w:rsid w:val="00D3312D"/>
    <w:rsid w:val="00D3348A"/>
    <w:rsid w:val="00D33D42"/>
    <w:rsid w:val="00D33DA6"/>
    <w:rsid w:val="00D34673"/>
    <w:rsid w:val="00D347E1"/>
    <w:rsid w:val="00D34888"/>
    <w:rsid w:val="00D354E4"/>
    <w:rsid w:val="00D36FCE"/>
    <w:rsid w:val="00D37CB5"/>
    <w:rsid w:val="00D4022C"/>
    <w:rsid w:val="00D42B22"/>
    <w:rsid w:val="00D42D5F"/>
    <w:rsid w:val="00D436C5"/>
    <w:rsid w:val="00D437B7"/>
    <w:rsid w:val="00D43BFA"/>
    <w:rsid w:val="00D440CD"/>
    <w:rsid w:val="00D4493C"/>
    <w:rsid w:val="00D44B44"/>
    <w:rsid w:val="00D45099"/>
    <w:rsid w:val="00D45919"/>
    <w:rsid w:val="00D45F04"/>
    <w:rsid w:val="00D47BF8"/>
    <w:rsid w:val="00D50418"/>
    <w:rsid w:val="00D5056A"/>
    <w:rsid w:val="00D5119E"/>
    <w:rsid w:val="00D512B0"/>
    <w:rsid w:val="00D5180B"/>
    <w:rsid w:val="00D51B39"/>
    <w:rsid w:val="00D51E0C"/>
    <w:rsid w:val="00D524E6"/>
    <w:rsid w:val="00D53AC8"/>
    <w:rsid w:val="00D53F70"/>
    <w:rsid w:val="00D54266"/>
    <w:rsid w:val="00D54F84"/>
    <w:rsid w:val="00D55BBD"/>
    <w:rsid w:val="00D55E8D"/>
    <w:rsid w:val="00D56AF2"/>
    <w:rsid w:val="00D56B68"/>
    <w:rsid w:val="00D5773C"/>
    <w:rsid w:val="00D5789A"/>
    <w:rsid w:val="00D605DE"/>
    <w:rsid w:val="00D62332"/>
    <w:rsid w:val="00D63AF3"/>
    <w:rsid w:val="00D63DC6"/>
    <w:rsid w:val="00D646F3"/>
    <w:rsid w:val="00D65571"/>
    <w:rsid w:val="00D6645E"/>
    <w:rsid w:val="00D66B63"/>
    <w:rsid w:val="00D671F0"/>
    <w:rsid w:val="00D673E8"/>
    <w:rsid w:val="00D70093"/>
    <w:rsid w:val="00D706FC"/>
    <w:rsid w:val="00D70F95"/>
    <w:rsid w:val="00D71D3C"/>
    <w:rsid w:val="00D71E98"/>
    <w:rsid w:val="00D724DC"/>
    <w:rsid w:val="00D738D0"/>
    <w:rsid w:val="00D73903"/>
    <w:rsid w:val="00D74EE3"/>
    <w:rsid w:val="00D7538E"/>
    <w:rsid w:val="00D76E2D"/>
    <w:rsid w:val="00D773FF"/>
    <w:rsid w:val="00D806AC"/>
    <w:rsid w:val="00D80EFD"/>
    <w:rsid w:val="00D81228"/>
    <w:rsid w:val="00D814CF"/>
    <w:rsid w:val="00D81DCB"/>
    <w:rsid w:val="00D822D6"/>
    <w:rsid w:val="00D825E0"/>
    <w:rsid w:val="00D83380"/>
    <w:rsid w:val="00D8360D"/>
    <w:rsid w:val="00D83999"/>
    <w:rsid w:val="00D8424E"/>
    <w:rsid w:val="00D842DA"/>
    <w:rsid w:val="00D84C53"/>
    <w:rsid w:val="00D8554A"/>
    <w:rsid w:val="00D85A0E"/>
    <w:rsid w:val="00D86781"/>
    <w:rsid w:val="00D90B3E"/>
    <w:rsid w:val="00D90CA9"/>
    <w:rsid w:val="00D917E3"/>
    <w:rsid w:val="00D922F2"/>
    <w:rsid w:val="00D92396"/>
    <w:rsid w:val="00D9241B"/>
    <w:rsid w:val="00D93176"/>
    <w:rsid w:val="00D94C52"/>
    <w:rsid w:val="00D94F98"/>
    <w:rsid w:val="00D9511C"/>
    <w:rsid w:val="00D96408"/>
    <w:rsid w:val="00D9651C"/>
    <w:rsid w:val="00D96603"/>
    <w:rsid w:val="00D973A0"/>
    <w:rsid w:val="00D97745"/>
    <w:rsid w:val="00DA16CB"/>
    <w:rsid w:val="00DA17D7"/>
    <w:rsid w:val="00DA1ABB"/>
    <w:rsid w:val="00DA1CBD"/>
    <w:rsid w:val="00DA1D1F"/>
    <w:rsid w:val="00DA1FC3"/>
    <w:rsid w:val="00DA4A3E"/>
    <w:rsid w:val="00DA57F5"/>
    <w:rsid w:val="00DA742C"/>
    <w:rsid w:val="00DA74A7"/>
    <w:rsid w:val="00DA7529"/>
    <w:rsid w:val="00DA7A92"/>
    <w:rsid w:val="00DB14D1"/>
    <w:rsid w:val="00DB1FF9"/>
    <w:rsid w:val="00DB33B9"/>
    <w:rsid w:val="00DB3E98"/>
    <w:rsid w:val="00DB58F6"/>
    <w:rsid w:val="00DB6100"/>
    <w:rsid w:val="00DB62FD"/>
    <w:rsid w:val="00DB6425"/>
    <w:rsid w:val="00DB7B06"/>
    <w:rsid w:val="00DC06F8"/>
    <w:rsid w:val="00DC0C8D"/>
    <w:rsid w:val="00DC0CF3"/>
    <w:rsid w:val="00DC1D95"/>
    <w:rsid w:val="00DC21D8"/>
    <w:rsid w:val="00DC2B22"/>
    <w:rsid w:val="00DC2F66"/>
    <w:rsid w:val="00DC3097"/>
    <w:rsid w:val="00DC34CC"/>
    <w:rsid w:val="00DC3CBD"/>
    <w:rsid w:val="00DC4166"/>
    <w:rsid w:val="00DC4A85"/>
    <w:rsid w:val="00DC6187"/>
    <w:rsid w:val="00DC7D06"/>
    <w:rsid w:val="00DD1291"/>
    <w:rsid w:val="00DD142C"/>
    <w:rsid w:val="00DD1C1D"/>
    <w:rsid w:val="00DD2000"/>
    <w:rsid w:val="00DD2A42"/>
    <w:rsid w:val="00DD3A3E"/>
    <w:rsid w:val="00DD48EB"/>
    <w:rsid w:val="00DD6F00"/>
    <w:rsid w:val="00DD7495"/>
    <w:rsid w:val="00DD7584"/>
    <w:rsid w:val="00DE12E7"/>
    <w:rsid w:val="00DE1406"/>
    <w:rsid w:val="00DE1E1A"/>
    <w:rsid w:val="00DE249C"/>
    <w:rsid w:val="00DE36D5"/>
    <w:rsid w:val="00DE3906"/>
    <w:rsid w:val="00DE4651"/>
    <w:rsid w:val="00DE59ED"/>
    <w:rsid w:val="00DE608D"/>
    <w:rsid w:val="00DE62EB"/>
    <w:rsid w:val="00DE64E6"/>
    <w:rsid w:val="00DE6F69"/>
    <w:rsid w:val="00DE7251"/>
    <w:rsid w:val="00DE7366"/>
    <w:rsid w:val="00DF21BD"/>
    <w:rsid w:val="00DF28B2"/>
    <w:rsid w:val="00DF41F2"/>
    <w:rsid w:val="00DF4C46"/>
    <w:rsid w:val="00DF514D"/>
    <w:rsid w:val="00DF5D1A"/>
    <w:rsid w:val="00DF7351"/>
    <w:rsid w:val="00E000D5"/>
    <w:rsid w:val="00E002F7"/>
    <w:rsid w:val="00E003A4"/>
    <w:rsid w:val="00E01819"/>
    <w:rsid w:val="00E01F3C"/>
    <w:rsid w:val="00E02168"/>
    <w:rsid w:val="00E0266A"/>
    <w:rsid w:val="00E02D79"/>
    <w:rsid w:val="00E04906"/>
    <w:rsid w:val="00E05A9E"/>
    <w:rsid w:val="00E0785E"/>
    <w:rsid w:val="00E10AA3"/>
    <w:rsid w:val="00E10BDC"/>
    <w:rsid w:val="00E114AB"/>
    <w:rsid w:val="00E11B05"/>
    <w:rsid w:val="00E11D2E"/>
    <w:rsid w:val="00E132F3"/>
    <w:rsid w:val="00E136E1"/>
    <w:rsid w:val="00E142AD"/>
    <w:rsid w:val="00E15518"/>
    <w:rsid w:val="00E16DB5"/>
    <w:rsid w:val="00E17811"/>
    <w:rsid w:val="00E17813"/>
    <w:rsid w:val="00E17860"/>
    <w:rsid w:val="00E17921"/>
    <w:rsid w:val="00E20D92"/>
    <w:rsid w:val="00E21821"/>
    <w:rsid w:val="00E2234E"/>
    <w:rsid w:val="00E22F9B"/>
    <w:rsid w:val="00E23438"/>
    <w:rsid w:val="00E242B8"/>
    <w:rsid w:val="00E249F8"/>
    <w:rsid w:val="00E255F0"/>
    <w:rsid w:val="00E25CA3"/>
    <w:rsid w:val="00E26C1D"/>
    <w:rsid w:val="00E30161"/>
    <w:rsid w:val="00E30346"/>
    <w:rsid w:val="00E30D73"/>
    <w:rsid w:val="00E3153E"/>
    <w:rsid w:val="00E317EC"/>
    <w:rsid w:val="00E31F2D"/>
    <w:rsid w:val="00E32029"/>
    <w:rsid w:val="00E32235"/>
    <w:rsid w:val="00E32AF8"/>
    <w:rsid w:val="00E346C7"/>
    <w:rsid w:val="00E34FF9"/>
    <w:rsid w:val="00E3578F"/>
    <w:rsid w:val="00E35A79"/>
    <w:rsid w:val="00E36175"/>
    <w:rsid w:val="00E3752A"/>
    <w:rsid w:val="00E40BF6"/>
    <w:rsid w:val="00E41FF7"/>
    <w:rsid w:val="00E423FE"/>
    <w:rsid w:val="00E4265C"/>
    <w:rsid w:val="00E42991"/>
    <w:rsid w:val="00E42F62"/>
    <w:rsid w:val="00E4544C"/>
    <w:rsid w:val="00E455D4"/>
    <w:rsid w:val="00E45F92"/>
    <w:rsid w:val="00E46CFB"/>
    <w:rsid w:val="00E47C4C"/>
    <w:rsid w:val="00E50042"/>
    <w:rsid w:val="00E503BD"/>
    <w:rsid w:val="00E505F6"/>
    <w:rsid w:val="00E51B70"/>
    <w:rsid w:val="00E51E29"/>
    <w:rsid w:val="00E52132"/>
    <w:rsid w:val="00E5501D"/>
    <w:rsid w:val="00E55997"/>
    <w:rsid w:val="00E55D87"/>
    <w:rsid w:val="00E55E5F"/>
    <w:rsid w:val="00E5629B"/>
    <w:rsid w:val="00E562E9"/>
    <w:rsid w:val="00E56C01"/>
    <w:rsid w:val="00E56EC1"/>
    <w:rsid w:val="00E5736F"/>
    <w:rsid w:val="00E57EF1"/>
    <w:rsid w:val="00E604E7"/>
    <w:rsid w:val="00E60714"/>
    <w:rsid w:val="00E62238"/>
    <w:rsid w:val="00E62B4D"/>
    <w:rsid w:val="00E638C5"/>
    <w:rsid w:val="00E63AA2"/>
    <w:rsid w:val="00E63C8F"/>
    <w:rsid w:val="00E6482F"/>
    <w:rsid w:val="00E650F6"/>
    <w:rsid w:val="00E65BD3"/>
    <w:rsid w:val="00E661F0"/>
    <w:rsid w:val="00E66A92"/>
    <w:rsid w:val="00E67711"/>
    <w:rsid w:val="00E678D9"/>
    <w:rsid w:val="00E7094A"/>
    <w:rsid w:val="00E71CE5"/>
    <w:rsid w:val="00E72E04"/>
    <w:rsid w:val="00E73614"/>
    <w:rsid w:val="00E755B7"/>
    <w:rsid w:val="00E75DD5"/>
    <w:rsid w:val="00E762B2"/>
    <w:rsid w:val="00E77263"/>
    <w:rsid w:val="00E77334"/>
    <w:rsid w:val="00E81591"/>
    <w:rsid w:val="00E81E76"/>
    <w:rsid w:val="00E82443"/>
    <w:rsid w:val="00E829FF"/>
    <w:rsid w:val="00E82B89"/>
    <w:rsid w:val="00E8312D"/>
    <w:rsid w:val="00E84848"/>
    <w:rsid w:val="00E848F9"/>
    <w:rsid w:val="00E85010"/>
    <w:rsid w:val="00E9252B"/>
    <w:rsid w:val="00E930A4"/>
    <w:rsid w:val="00E93373"/>
    <w:rsid w:val="00E93DA1"/>
    <w:rsid w:val="00E95665"/>
    <w:rsid w:val="00E9661E"/>
    <w:rsid w:val="00EA04E9"/>
    <w:rsid w:val="00EA1712"/>
    <w:rsid w:val="00EA1E0C"/>
    <w:rsid w:val="00EA2063"/>
    <w:rsid w:val="00EA2BDB"/>
    <w:rsid w:val="00EA3119"/>
    <w:rsid w:val="00EA361A"/>
    <w:rsid w:val="00EA3986"/>
    <w:rsid w:val="00EA467E"/>
    <w:rsid w:val="00EA4804"/>
    <w:rsid w:val="00EA577E"/>
    <w:rsid w:val="00EA5B36"/>
    <w:rsid w:val="00EA624B"/>
    <w:rsid w:val="00EA6639"/>
    <w:rsid w:val="00EA6E45"/>
    <w:rsid w:val="00EA7231"/>
    <w:rsid w:val="00EA7F02"/>
    <w:rsid w:val="00EB38AD"/>
    <w:rsid w:val="00EB40ED"/>
    <w:rsid w:val="00EB4208"/>
    <w:rsid w:val="00EB4D97"/>
    <w:rsid w:val="00EB5189"/>
    <w:rsid w:val="00EB535D"/>
    <w:rsid w:val="00EB5B55"/>
    <w:rsid w:val="00EB675D"/>
    <w:rsid w:val="00EB7196"/>
    <w:rsid w:val="00EC00BC"/>
    <w:rsid w:val="00EC1CD8"/>
    <w:rsid w:val="00EC2645"/>
    <w:rsid w:val="00EC3327"/>
    <w:rsid w:val="00EC45A9"/>
    <w:rsid w:val="00EC4D1C"/>
    <w:rsid w:val="00EC5084"/>
    <w:rsid w:val="00ED0A6E"/>
    <w:rsid w:val="00ED19AF"/>
    <w:rsid w:val="00ED2D71"/>
    <w:rsid w:val="00ED31FB"/>
    <w:rsid w:val="00ED4644"/>
    <w:rsid w:val="00ED4E29"/>
    <w:rsid w:val="00ED7D11"/>
    <w:rsid w:val="00EE0562"/>
    <w:rsid w:val="00EE057A"/>
    <w:rsid w:val="00EE0A9A"/>
    <w:rsid w:val="00EE0DC8"/>
    <w:rsid w:val="00EE173C"/>
    <w:rsid w:val="00EE1F8A"/>
    <w:rsid w:val="00EE2FE2"/>
    <w:rsid w:val="00EE3B68"/>
    <w:rsid w:val="00EE4622"/>
    <w:rsid w:val="00EE5E75"/>
    <w:rsid w:val="00EF0F00"/>
    <w:rsid w:val="00EF1110"/>
    <w:rsid w:val="00EF2CBA"/>
    <w:rsid w:val="00EF35E7"/>
    <w:rsid w:val="00EF3CBC"/>
    <w:rsid w:val="00EF6B94"/>
    <w:rsid w:val="00EF783B"/>
    <w:rsid w:val="00EF7975"/>
    <w:rsid w:val="00F01AA5"/>
    <w:rsid w:val="00F01F5C"/>
    <w:rsid w:val="00F02366"/>
    <w:rsid w:val="00F02D3B"/>
    <w:rsid w:val="00F032BD"/>
    <w:rsid w:val="00F03303"/>
    <w:rsid w:val="00F04644"/>
    <w:rsid w:val="00F0467E"/>
    <w:rsid w:val="00F04694"/>
    <w:rsid w:val="00F05C58"/>
    <w:rsid w:val="00F07365"/>
    <w:rsid w:val="00F11B22"/>
    <w:rsid w:val="00F136ED"/>
    <w:rsid w:val="00F1445A"/>
    <w:rsid w:val="00F14F9A"/>
    <w:rsid w:val="00F15BC2"/>
    <w:rsid w:val="00F16325"/>
    <w:rsid w:val="00F16358"/>
    <w:rsid w:val="00F179A5"/>
    <w:rsid w:val="00F203D4"/>
    <w:rsid w:val="00F20BF0"/>
    <w:rsid w:val="00F215A6"/>
    <w:rsid w:val="00F2283D"/>
    <w:rsid w:val="00F234D5"/>
    <w:rsid w:val="00F248BB"/>
    <w:rsid w:val="00F24B82"/>
    <w:rsid w:val="00F25AB8"/>
    <w:rsid w:val="00F2656D"/>
    <w:rsid w:val="00F2677F"/>
    <w:rsid w:val="00F2695E"/>
    <w:rsid w:val="00F2739A"/>
    <w:rsid w:val="00F308D6"/>
    <w:rsid w:val="00F30E2D"/>
    <w:rsid w:val="00F30FF4"/>
    <w:rsid w:val="00F3221D"/>
    <w:rsid w:val="00F3238E"/>
    <w:rsid w:val="00F3313D"/>
    <w:rsid w:val="00F34C0B"/>
    <w:rsid w:val="00F35C40"/>
    <w:rsid w:val="00F363E9"/>
    <w:rsid w:val="00F3704C"/>
    <w:rsid w:val="00F4026F"/>
    <w:rsid w:val="00F41176"/>
    <w:rsid w:val="00F41547"/>
    <w:rsid w:val="00F41EBA"/>
    <w:rsid w:val="00F4213F"/>
    <w:rsid w:val="00F43943"/>
    <w:rsid w:val="00F43C18"/>
    <w:rsid w:val="00F44BFF"/>
    <w:rsid w:val="00F44C30"/>
    <w:rsid w:val="00F451CF"/>
    <w:rsid w:val="00F4528D"/>
    <w:rsid w:val="00F452AF"/>
    <w:rsid w:val="00F455CD"/>
    <w:rsid w:val="00F45A45"/>
    <w:rsid w:val="00F466A0"/>
    <w:rsid w:val="00F467FB"/>
    <w:rsid w:val="00F4689C"/>
    <w:rsid w:val="00F47528"/>
    <w:rsid w:val="00F506A9"/>
    <w:rsid w:val="00F506FB"/>
    <w:rsid w:val="00F50F7C"/>
    <w:rsid w:val="00F51220"/>
    <w:rsid w:val="00F51374"/>
    <w:rsid w:val="00F532C9"/>
    <w:rsid w:val="00F5404C"/>
    <w:rsid w:val="00F5407B"/>
    <w:rsid w:val="00F54AAF"/>
    <w:rsid w:val="00F54B6A"/>
    <w:rsid w:val="00F5549D"/>
    <w:rsid w:val="00F55E56"/>
    <w:rsid w:val="00F569AA"/>
    <w:rsid w:val="00F57349"/>
    <w:rsid w:val="00F57B72"/>
    <w:rsid w:val="00F607EC"/>
    <w:rsid w:val="00F60D0B"/>
    <w:rsid w:val="00F61DD6"/>
    <w:rsid w:val="00F622DF"/>
    <w:rsid w:val="00F6307F"/>
    <w:rsid w:val="00F63AF0"/>
    <w:rsid w:val="00F63CA1"/>
    <w:rsid w:val="00F64415"/>
    <w:rsid w:val="00F661C4"/>
    <w:rsid w:val="00F6657B"/>
    <w:rsid w:val="00F66867"/>
    <w:rsid w:val="00F6755B"/>
    <w:rsid w:val="00F67E35"/>
    <w:rsid w:val="00F71635"/>
    <w:rsid w:val="00F72468"/>
    <w:rsid w:val="00F73CBA"/>
    <w:rsid w:val="00F7469C"/>
    <w:rsid w:val="00F74C42"/>
    <w:rsid w:val="00F77737"/>
    <w:rsid w:val="00F81572"/>
    <w:rsid w:val="00F81B1A"/>
    <w:rsid w:val="00F81F75"/>
    <w:rsid w:val="00F84556"/>
    <w:rsid w:val="00F84ABE"/>
    <w:rsid w:val="00F84EAB"/>
    <w:rsid w:val="00F855B6"/>
    <w:rsid w:val="00F87A56"/>
    <w:rsid w:val="00F87C80"/>
    <w:rsid w:val="00F91D78"/>
    <w:rsid w:val="00F935C4"/>
    <w:rsid w:val="00F93B0B"/>
    <w:rsid w:val="00F94F88"/>
    <w:rsid w:val="00F95819"/>
    <w:rsid w:val="00F9736D"/>
    <w:rsid w:val="00F9750D"/>
    <w:rsid w:val="00F9779B"/>
    <w:rsid w:val="00F97C8D"/>
    <w:rsid w:val="00FA070C"/>
    <w:rsid w:val="00FA07CE"/>
    <w:rsid w:val="00FA080C"/>
    <w:rsid w:val="00FA1109"/>
    <w:rsid w:val="00FA129F"/>
    <w:rsid w:val="00FA1556"/>
    <w:rsid w:val="00FA17E3"/>
    <w:rsid w:val="00FA1AF6"/>
    <w:rsid w:val="00FA1F8C"/>
    <w:rsid w:val="00FA245B"/>
    <w:rsid w:val="00FA2B90"/>
    <w:rsid w:val="00FA2F25"/>
    <w:rsid w:val="00FA393B"/>
    <w:rsid w:val="00FA568A"/>
    <w:rsid w:val="00FA5695"/>
    <w:rsid w:val="00FA58D0"/>
    <w:rsid w:val="00FA6009"/>
    <w:rsid w:val="00FA7F38"/>
    <w:rsid w:val="00FB03DC"/>
    <w:rsid w:val="00FB0D8F"/>
    <w:rsid w:val="00FB12C5"/>
    <w:rsid w:val="00FB1A03"/>
    <w:rsid w:val="00FB2467"/>
    <w:rsid w:val="00FB2BBF"/>
    <w:rsid w:val="00FB3F1A"/>
    <w:rsid w:val="00FB55F7"/>
    <w:rsid w:val="00FB6279"/>
    <w:rsid w:val="00FB6865"/>
    <w:rsid w:val="00FB7419"/>
    <w:rsid w:val="00FB779F"/>
    <w:rsid w:val="00FB7E3F"/>
    <w:rsid w:val="00FC04EC"/>
    <w:rsid w:val="00FC0879"/>
    <w:rsid w:val="00FC0C37"/>
    <w:rsid w:val="00FC0CBA"/>
    <w:rsid w:val="00FC0DCC"/>
    <w:rsid w:val="00FC1AB7"/>
    <w:rsid w:val="00FC2FC9"/>
    <w:rsid w:val="00FC3C6D"/>
    <w:rsid w:val="00FC4112"/>
    <w:rsid w:val="00FC5661"/>
    <w:rsid w:val="00FC628B"/>
    <w:rsid w:val="00FC7C60"/>
    <w:rsid w:val="00FD024C"/>
    <w:rsid w:val="00FD07B3"/>
    <w:rsid w:val="00FD0CAA"/>
    <w:rsid w:val="00FD10BC"/>
    <w:rsid w:val="00FD24ED"/>
    <w:rsid w:val="00FD2761"/>
    <w:rsid w:val="00FD2A37"/>
    <w:rsid w:val="00FD2C21"/>
    <w:rsid w:val="00FD337E"/>
    <w:rsid w:val="00FD3F3C"/>
    <w:rsid w:val="00FD530F"/>
    <w:rsid w:val="00FD5707"/>
    <w:rsid w:val="00FD712D"/>
    <w:rsid w:val="00FE0953"/>
    <w:rsid w:val="00FE1DBE"/>
    <w:rsid w:val="00FE294A"/>
    <w:rsid w:val="00FE2B16"/>
    <w:rsid w:val="00FE2BB5"/>
    <w:rsid w:val="00FE346A"/>
    <w:rsid w:val="00FE40B0"/>
    <w:rsid w:val="00FE50AD"/>
    <w:rsid w:val="00FE5246"/>
    <w:rsid w:val="00FE5B9E"/>
    <w:rsid w:val="00FE763C"/>
    <w:rsid w:val="00FE7ACA"/>
    <w:rsid w:val="00FF00A1"/>
    <w:rsid w:val="00FF113B"/>
    <w:rsid w:val="00FF37A4"/>
    <w:rsid w:val="00FF489E"/>
    <w:rsid w:val="00FF4E9F"/>
    <w:rsid w:val="00FF5980"/>
    <w:rsid w:val="00FF6456"/>
    <w:rsid w:val="00FF74E9"/>
    <w:rsid w:val="00FF7546"/>
    <w:rsid w:val="00FF7E7D"/>
    <w:rsid w:val="01E420D4"/>
    <w:rsid w:val="025F571D"/>
    <w:rsid w:val="03A01C07"/>
    <w:rsid w:val="03F24A85"/>
    <w:rsid w:val="043363A4"/>
    <w:rsid w:val="044E68DA"/>
    <w:rsid w:val="04BF0955"/>
    <w:rsid w:val="04DD4C73"/>
    <w:rsid w:val="05055905"/>
    <w:rsid w:val="067E2B43"/>
    <w:rsid w:val="07A11D12"/>
    <w:rsid w:val="0877295F"/>
    <w:rsid w:val="08DC6217"/>
    <w:rsid w:val="09020655"/>
    <w:rsid w:val="091F1A52"/>
    <w:rsid w:val="0A2A595E"/>
    <w:rsid w:val="0AAD343E"/>
    <w:rsid w:val="0AF360A9"/>
    <w:rsid w:val="0BAF7EFB"/>
    <w:rsid w:val="0BED6C95"/>
    <w:rsid w:val="0CB40D71"/>
    <w:rsid w:val="0D402E86"/>
    <w:rsid w:val="0E015D5E"/>
    <w:rsid w:val="0E615520"/>
    <w:rsid w:val="0ED777E6"/>
    <w:rsid w:val="0F4362ED"/>
    <w:rsid w:val="0F53470B"/>
    <w:rsid w:val="100332E4"/>
    <w:rsid w:val="10217DEA"/>
    <w:rsid w:val="10D45C37"/>
    <w:rsid w:val="11B811DB"/>
    <w:rsid w:val="13355B11"/>
    <w:rsid w:val="14746CE9"/>
    <w:rsid w:val="14855671"/>
    <w:rsid w:val="14FB2B48"/>
    <w:rsid w:val="15762F9A"/>
    <w:rsid w:val="15BD4BF0"/>
    <w:rsid w:val="1667046A"/>
    <w:rsid w:val="17920939"/>
    <w:rsid w:val="17F66882"/>
    <w:rsid w:val="180A0D57"/>
    <w:rsid w:val="1832766A"/>
    <w:rsid w:val="1873430B"/>
    <w:rsid w:val="1944645F"/>
    <w:rsid w:val="195D62A4"/>
    <w:rsid w:val="1968247E"/>
    <w:rsid w:val="199E4469"/>
    <w:rsid w:val="19FD2FB1"/>
    <w:rsid w:val="1A446CD9"/>
    <w:rsid w:val="1B2464C6"/>
    <w:rsid w:val="1B71601E"/>
    <w:rsid w:val="1BD311B6"/>
    <w:rsid w:val="1BDB3592"/>
    <w:rsid w:val="1CA86413"/>
    <w:rsid w:val="1CC5397B"/>
    <w:rsid w:val="1DAA56BF"/>
    <w:rsid w:val="1DE24E96"/>
    <w:rsid w:val="1DEB592A"/>
    <w:rsid w:val="1E643A19"/>
    <w:rsid w:val="1EBA6FB1"/>
    <w:rsid w:val="1EBE5C7D"/>
    <w:rsid w:val="1EDF69BD"/>
    <w:rsid w:val="1EFF7D8D"/>
    <w:rsid w:val="1F2A54A5"/>
    <w:rsid w:val="1F5E332F"/>
    <w:rsid w:val="20836030"/>
    <w:rsid w:val="20E31988"/>
    <w:rsid w:val="21011332"/>
    <w:rsid w:val="21770026"/>
    <w:rsid w:val="21B15873"/>
    <w:rsid w:val="22546A4A"/>
    <w:rsid w:val="23187643"/>
    <w:rsid w:val="23265DF7"/>
    <w:rsid w:val="23DD6465"/>
    <w:rsid w:val="25330C17"/>
    <w:rsid w:val="254253CF"/>
    <w:rsid w:val="259B1C58"/>
    <w:rsid w:val="25D13B8E"/>
    <w:rsid w:val="26BD5BFF"/>
    <w:rsid w:val="26EE126B"/>
    <w:rsid w:val="279F5677"/>
    <w:rsid w:val="281777D3"/>
    <w:rsid w:val="281B51FA"/>
    <w:rsid w:val="28336D34"/>
    <w:rsid w:val="286D4602"/>
    <w:rsid w:val="28FB1CA4"/>
    <w:rsid w:val="294C6023"/>
    <w:rsid w:val="295F4303"/>
    <w:rsid w:val="2961793C"/>
    <w:rsid w:val="29AE027C"/>
    <w:rsid w:val="29DB59E7"/>
    <w:rsid w:val="2A6D4266"/>
    <w:rsid w:val="2B6B6118"/>
    <w:rsid w:val="2BB611C4"/>
    <w:rsid w:val="2C6C30F0"/>
    <w:rsid w:val="2CB76BBC"/>
    <w:rsid w:val="2DAC6C2C"/>
    <w:rsid w:val="2DD73EBC"/>
    <w:rsid w:val="2E9D4482"/>
    <w:rsid w:val="2F2625A6"/>
    <w:rsid w:val="2F2771C2"/>
    <w:rsid w:val="304D2ECC"/>
    <w:rsid w:val="307B2717"/>
    <w:rsid w:val="315A4396"/>
    <w:rsid w:val="31C80DA7"/>
    <w:rsid w:val="32521B5B"/>
    <w:rsid w:val="3368508B"/>
    <w:rsid w:val="343018AE"/>
    <w:rsid w:val="344714D3"/>
    <w:rsid w:val="34505164"/>
    <w:rsid w:val="3563148B"/>
    <w:rsid w:val="358735AF"/>
    <w:rsid w:val="36845BAB"/>
    <w:rsid w:val="36DC432D"/>
    <w:rsid w:val="37B055EF"/>
    <w:rsid w:val="382F651B"/>
    <w:rsid w:val="38EF7395"/>
    <w:rsid w:val="3AC44DF5"/>
    <w:rsid w:val="3AC76AFC"/>
    <w:rsid w:val="3B651900"/>
    <w:rsid w:val="3B7D6FA7"/>
    <w:rsid w:val="3B8F33D2"/>
    <w:rsid w:val="3BA4187E"/>
    <w:rsid w:val="3BD22C16"/>
    <w:rsid w:val="3C107B31"/>
    <w:rsid w:val="3C1D7C0E"/>
    <w:rsid w:val="3C277440"/>
    <w:rsid w:val="3C91106D"/>
    <w:rsid w:val="3C996A2F"/>
    <w:rsid w:val="3CAB1C17"/>
    <w:rsid w:val="3D000CCB"/>
    <w:rsid w:val="3D0D6B14"/>
    <w:rsid w:val="3DDC307A"/>
    <w:rsid w:val="3EE71B2C"/>
    <w:rsid w:val="3F4F4266"/>
    <w:rsid w:val="3F8C6E7B"/>
    <w:rsid w:val="403C563D"/>
    <w:rsid w:val="40795F14"/>
    <w:rsid w:val="40903AFC"/>
    <w:rsid w:val="41E02BFC"/>
    <w:rsid w:val="41E426DF"/>
    <w:rsid w:val="42C103C3"/>
    <w:rsid w:val="43367252"/>
    <w:rsid w:val="43A34F8B"/>
    <w:rsid w:val="446F34D2"/>
    <w:rsid w:val="447217A1"/>
    <w:rsid w:val="451A3F70"/>
    <w:rsid w:val="454A5C87"/>
    <w:rsid w:val="45562AD0"/>
    <w:rsid w:val="45A40916"/>
    <w:rsid w:val="45D27E9B"/>
    <w:rsid w:val="45DF1052"/>
    <w:rsid w:val="46533E87"/>
    <w:rsid w:val="47010738"/>
    <w:rsid w:val="470F78A3"/>
    <w:rsid w:val="471C1058"/>
    <w:rsid w:val="47213040"/>
    <w:rsid w:val="47A30191"/>
    <w:rsid w:val="48482B3A"/>
    <w:rsid w:val="49030FD7"/>
    <w:rsid w:val="491F630E"/>
    <w:rsid w:val="491F6AA3"/>
    <w:rsid w:val="492B72F3"/>
    <w:rsid w:val="4A3158A6"/>
    <w:rsid w:val="4AF94032"/>
    <w:rsid w:val="4B383175"/>
    <w:rsid w:val="4B825C2C"/>
    <w:rsid w:val="4BB769F5"/>
    <w:rsid w:val="4CEA63BF"/>
    <w:rsid w:val="4D1C4610"/>
    <w:rsid w:val="4D4C2BE0"/>
    <w:rsid w:val="4DCB34AF"/>
    <w:rsid w:val="4E0A57FA"/>
    <w:rsid w:val="4EE9763A"/>
    <w:rsid w:val="4EF64FBE"/>
    <w:rsid w:val="4F782706"/>
    <w:rsid w:val="4FA87A99"/>
    <w:rsid w:val="4FB40B1B"/>
    <w:rsid w:val="4FE92F78"/>
    <w:rsid w:val="500F4A30"/>
    <w:rsid w:val="50720061"/>
    <w:rsid w:val="50F3154D"/>
    <w:rsid w:val="52DD7C21"/>
    <w:rsid w:val="531A6DFB"/>
    <w:rsid w:val="532D65A7"/>
    <w:rsid w:val="534E7358"/>
    <w:rsid w:val="54685CBD"/>
    <w:rsid w:val="546E4215"/>
    <w:rsid w:val="54934A5A"/>
    <w:rsid w:val="56126560"/>
    <w:rsid w:val="57266B39"/>
    <w:rsid w:val="57993581"/>
    <w:rsid w:val="58743916"/>
    <w:rsid w:val="58B458E5"/>
    <w:rsid w:val="5AD84512"/>
    <w:rsid w:val="5AFE089A"/>
    <w:rsid w:val="5B052E61"/>
    <w:rsid w:val="5B412526"/>
    <w:rsid w:val="5B540BF9"/>
    <w:rsid w:val="5B607CF8"/>
    <w:rsid w:val="5B7137D7"/>
    <w:rsid w:val="5B7F4A5E"/>
    <w:rsid w:val="5C8D1C31"/>
    <w:rsid w:val="5CDF3B89"/>
    <w:rsid w:val="5D210B2E"/>
    <w:rsid w:val="5DD667D6"/>
    <w:rsid w:val="5E130566"/>
    <w:rsid w:val="5E8A14A9"/>
    <w:rsid w:val="5F687710"/>
    <w:rsid w:val="60545B86"/>
    <w:rsid w:val="60B06A2A"/>
    <w:rsid w:val="61026CD7"/>
    <w:rsid w:val="61313832"/>
    <w:rsid w:val="621821EA"/>
    <w:rsid w:val="62285198"/>
    <w:rsid w:val="624A760F"/>
    <w:rsid w:val="6275013E"/>
    <w:rsid w:val="62BC23DF"/>
    <w:rsid w:val="634C021A"/>
    <w:rsid w:val="63AC2D96"/>
    <w:rsid w:val="64845DB0"/>
    <w:rsid w:val="654F5CBB"/>
    <w:rsid w:val="66C063A4"/>
    <w:rsid w:val="67245122"/>
    <w:rsid w:val="680571B7"/>
    <w:rsid w:val="68237CE4"/>
    <w:rsid w:val="68DE57BC"/>
    <w:rsid w:val="68F02638"/>
    <w:rsid w:val="69577A6A"/>
    <w:rsid w:val="69ED4615"/>
    <w:rsid w:val="6A1D7046"/>
    <w:rsid w:val="6A804048"/>
    <w:rsid w:val="6AA63974"/>
    <w:rsid w:val="6AEC1179"/>
    <w:rsid w:val="6BEA5293"/>
    <w:rsid w:val="6C4D7ABB"/>
    <w:rsid w:val="6CD721E7"/>
    <w:rsid w:val="6D7C272C"/>
    <w:rsid w:val="6DE73E8F"/>
    <w:rsid w:val="6E4204BC"/>
    <w:rsid w:val="6E7F11C5"/>
    <w:rsid w:val="6ECE02FD"/>
    <w:rsid w:val="6F7B7C73"/>
    <w:rsid w:val="6FB310CC"/>
    <w:rsid w:val="6FBC1D3F"/>
    <w:rsid w:val="70876EAC"/>
    <w:rsid w:val="710D6D31"/>
    <w:rsid w:val="71F85B3F"/>
    <w:rsid w:val="720B6F9F"/>
    <w:rsid w:val="72197303"/>
    <w:rsid w:val="727113CB"/>
    <w:rsid w:val="72CD1618"/>
    <w:rsid w:val="73347C4C"/>
    <w:rsid w:val="737036AE"/>
    <w:rsid w:val="73952891"/>
    <w:rsid w:val="73FF295B"/>
    <w:rsid w:val="74B0277E"/>
    <w:rsid w:val="75D94EB3"/>
    <w:rsid w:val="75F62DAA"/>
    <w:rsid w:val="76AE5529"/>
    <w:rsid w:val="777273A9"/>
    <w:rsid w:val="79804BFA"/>
    <w:rsid w:val="7B9E10BC"/>
    <w:rsid w:val="7BB617B0"/>
    <w:rsid w:val="7BF547C5"/>
    <w:rsid w:val="7C177130"/>
    <w:rsid w:val="7C5B208A"/>
    <w:rsid w:val="7C7D1A4A"/>
    <w:rsid w:val="7C820B95"/>
    <w:rsid w:val="7C8E5912"/>
    <w:rsid w:val="7DD62BBE"/>
    <w:rsid w:val="7E652B79"/>
    <w:rsid w:val="7EC23E83"/>
    <w:rsid w:val="7F8D2652"/>
    <w:rsid w:val="7F955025"/>
    <w:rsid w:val="7F9F1A9A"/>
    <w:rsid w:val="7FC65CAF"/>
    <w:rsid w:val="7FD40D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3"/>
    <w:unhideWhenUsed/>
    <w:qFormat/>
    <w:uiPriority w:val="99"/>
    <w:pPr>
      <w:ind w:left="100" w:leftChars="2500"/>
    </w:pPr>
  </w:style>
  <w:style w:type="paragraph" w:styleId="3">
    <w:name w:val="Balloon Text"/>
    <w:basedOn w:val="1"/>
    <w:link w:val="10"/>
    <w:unhideWhenUsed/>
    <w:qFormat/>
    <w:uiPriority w:val="99"/>
    <w:rPr>
      <w:sz w:val="18"/>
      <w:szCs w:val="18"/>
    </w:r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页脚 字符"/>
    <w:basedOn w:val="7"/>
    <w:link w:val="4"/>
    <w:qFormat/>
    <w:uiPriority w:val="0"/>
    <w:rPr>
      <w:rFonts w:ascii="Times New Roman" w:hAnsi="Times New Roman" w:eastAsia="宋体" w:cs="Times New Roman"/>
      <w:sz w:val="18"/>
      <w:szCs w:val="18"/>
    </w:rPr>
  </w:style>
  <w:style w:type="character" w:customStyle="1" w:styleId="10">
    <w:name w:val="批注框文本 字符"/>
    <w:basedOn w:val="7"/>
    <w:link w:val="3"/>
    <w:semiHidden/>
    <w:qFormat/>
    <w:uiPriority w:val="99"/>
    <w:rPr>
      <w:rFonts w:ascii="Times New Roman" w:hAnsi="Times New Roman" w:eastAsia="宋体" w:cs="Times New Roman"/>
      <w:sz w:val="18"/>
      <w:szCs w:val="18"/>
    </w:rPr>
  </w:style>
  <w:style w:type="character" w:customStyle="1" w:styleId="11">
    <w:name w:val="页眉 字符"/>
    <w:basedOn w:val="7"/>
    <w:link w:val="5"/>
    <w:qFormat/>
    <w:uiPriority w:val="99"/>
    <w:rPr>
      <w:rFonts w:ascii="Times New Roman" w:hAnsi="Times New Roman" w:eastAsia="宋体" w:cs="Times New Roman"/>
      <w:sz w:val="18"/>
      <w:szCs w:val="18"/>
    </w:rPr>
  </w:style>
  <w:style w:type="paragraph" w:customStyle="1" w:styleId="12">
    <w:name w:val="列出段落1"/>
    <w:basedOn w:val="1"/>
    <w:qFormat/>
    <w:uiPriority w:val="34"/>
    <w:pPr>
      <w:ind w:firstLine="420" w:firstLineChars="200"/>
    </w:pPr>
  </w:style>
  <w:style w:type="character" w:customStyle="1" w:styleId="13">
    <w:name w:val="日期 字符"/>
    <w:basedOn w:val="7"/>
    <w:link w:val="2"/>
    <w:semiHidden/>
    <w:qFormat/>
    <w:uiPriority w:val="99"/>
    <w:rPr>
      <w:rFonts w:ascii="Times New Roman" w:hAnsi="Times New Roman" w:eastAsia="宋体" w:cs="Times New Roman"/>
      <w:kern w:val="2"/>
      <w:sz w:val="21"/>
      <w:szCs w:val="24"/>
    </w:rPr>
  </w:style>
  <w:style w:type="paragraph" w:customStyle="1" w:styleId="14">
    <w:name w:val="列出段落2"/>
    <w:basedOn w:val="1"/>
    <w:unhideWhenUsed/>
    <w:qFormat/>
    <w:uiPriority w:val="99"/>
    <w:pPr>
      <w:ind w:firstLine="420" w:firstLineChars="200"/>
    </w:pPr>
  </w:style>
  <w:style w:type="paragraph" w:styleId="15">
    <w:name w:val="List Paragraph"/>
    <w:basedOn w:val="1"/>
    <w:unhideWhenUsed/>
    <w:uiPriority w:val="99"/>
    <w:pPr>
      <w:ind w:firstLine="420" w:firstLineChars="200"/>
    </w:pPr>
  </w:style>
  <w:style w:type="paragraph" w:customStyle="1" w:styleId="16">
    <w:name w:val="gw_正文"/>
    <w:basedOn w:val="1"/>
    <w:link w:val="17"/>
    <w:qFormat/>
    <w:uiPriority w:val="0"/>
    <w:pPr>
      <w:spacing w:line="560" w:lineRule="exact"/>
      <w:ind w:firstLine="200" w:firstLineChars="200"/>
      <w:jc w:val="left"/>
    </w:pPr>
    <w:rPr>
      <w:rFonts w:ascii="仿宋_GB2312" w:hAnsi="黑体" w:eastAsia="仿宋_GB2312" w:cstheme="minorBidi"/>
      <w:sz w:val="32"/>
      <w:szCs w:val="32"/>
    </w:rPr>
  </w:style>
  <w:style w:type="character" w:customStyle="1" w:styleId="17">
    <w:name w:val="gw_正文 Char"/>
    <w:basedOn w:val="7"/>
    <w:link w:val="16"/>
    <w:qFormat/>
    <w:uiPriority w:val="0"/>
    <w:rPr>
      <w:rFonts w:ascii="仿宋_GB2312" w:hAnsi="黑体" w:eastAsia="仿宋_GB2312"/>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D:\&#29233;&#20070;&#39640;&#38647;\AnyShare\&#25919;&#24220;&#20449;&#24687;&#20844;&#24320;&#21150;\2016&#24037;&#20316;&#25991;&#20214;\&#26376;&#24230;&#24037;&#20316;&#21160;&#24577;\&#26032;&#24314;&#25991;&#20214;&#22841;\&#26032;&#24314;%20Microsoft%20Excel%20&#24037;&#20316;&#34920;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29233;&#20070;&#39640;&#38647;\AnyShare\&#25919;&#24220;&#20449;&#24687;&#20844;&#24320;&#21150;\2016&#24037;&#20316;&#25991;&#20214;\&#26376;&#24230;&#24037;&#20316;&#21160;&#24577;\&#26032;&#24314;&#25991;&#20214;&#22841;\&#26032;&#24314;%20Microsoft%20Excel%20&#24037;&#20316;&#349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floor>
    <c:sideWall>
      <c:thickness val="0"/>
    </c:sideWall>
    <c:backWall>
      <c:thickness val="0"/>
    </c:backWall>
    <c:plotArea>
      <c:layout/>
      <c:pie3DChart>
        <c:varyColors val="1"/>
        <c:ser>
          <c:idx val="0"/>
          <c:order val="0"/>
          <c:explosion val="0"/>
          <c:dPt>
            <c:idx val="0"/>
            <c:bubble3D val="0"/>
          </c:dPt>
          <c:dPt>
            <c:idx val="1"/>
            <c:bubble3D val="0"/>
          </c:dPt>
          <c:dPt>
            <c:idx val="2"/>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Sheet1!$A$362:$A$364</c:f>
              <c:strCache>
                <c:ptCount val="3"/>
                <c:pt idx="0">
                  <c:v>当面申请51.3%</c:v>
                </c:pt>
                <c:pt idx="1">
                  <c:v>互联网申请14.2%</c:v>
                </c:pt>
                <c:pt idx="2">
                  <c:v>信函申请34.5%</c:v>
                </c:pt>
              </c:strCache>
            </c:strRef>
          </c:cat>
          <c:val>
            <c:numRef>
              <c:f>Sheet1!$B$362:$B$364</c:f>
              <c:numCache>
                <c:formatCode>0.00%</c:formatCode>
                <c:ptCount val="3"/>
                <c:pt idx="0">
                  <c:v>0.513</c:v>
                </c:pt>
                <c:pt idx="1">
                  <c:v>0.142</c:v>
                </c:pt>
                <c:pt idx="2">
                  <c:v>0.345</c:v>
                </c:pt>
              </c:numCache>
            </c:numRef>
          </c:val>
        </c:ser>
        <c:dLbls>
          <c:showLegendKey val="0"/>
          <c:showVal val="0"/>
          <c:showCatName val="0"/>
          <c:showSerName val="0"/>
          <c:showPercent val="0"/>
          <c:showBubbleSize val="0"/>
        </c:dLbls>
      </c:pie3D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floor>
    <c:sideWall>
      <c:thickness val="0"/>
    </c:sideWall>
    <c:backWall>
      <c:thickness val="0"/>
    </c:backWall>
    <c:plotArea>
      <c:layout>
        <c:manualLayout>
          <c:layoutTarget val="inner"/>
          <c:xMode val="edge"/>
          <c:yMode val="edge"/>
          <c:x val="0.0625225284339458"/>
          <c:y val="0.104166666666667"/>
          <c:w val="0.503095144356955"/>
          <c:h val="0.773148148148148"/>
        </c:manualLayout>
      </c:layout>
      <c:pie3DChart>
        <c:varyColors val="1"/>
        <c:ser>
          <c:idx val="0"/>
          <c:order val="0"/>
          <c:explosion val="0"/>
          <c:dPt>
            <c:idx val="0"/>
            <c:bubble3D val="0"/>
          </c:dPt>
          <c:dPt>
            <c:idx val="1"/>
            <c:bubble3D val="0"/>
          </c:dPt>
          <c:dPt>
            <c:idx val="2"/>
            <c:bubble3D val="0"/>
          </c:dPt>
          <c:dPt>
            <c:idx val="3"/>
            <c:bubble3D val="0"/>
          </c:dPt>
          <c:dPt>
            <c:idx val="4"/>
            <c:bubble3D val="0"/>
          </c:dPt>
          <c:dPt>
            <c:idx val="5"/>
            <c:bubble3D val="0"/>
          </c:dPt>
          <c:dPt>
            <c:idx val="6"/>
            <c:bubble3D val="0"/>
          </c:dPt>
          <c:dPt>
            <c:idx val="7"/>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Sheet1!$A$382:$A$389</c:f>
              <c:strCache>
                <c:ptCount val="8"/>
                <c:pt idx="0">
                  <c:v>已主动公开6%</c:v>
                </c:pt>
                <c:pt idx="1">
                  <c:v>同意公开34.7%</c:v>
                </c:pt>
                <c:pt idx="2">
                  <c:v>同意部分公开1.4%</c:v>
                </c:pt>
                <c:pt idx="3">
                  <c:v>不同意公开5%</c:v>
                </c:pt>
                <c:pt idx="4">
                  <c:v>非本机关信息10.6%</c:v>
                </c:pt>
                <c:pt idx="5">
                  <c:v>信息不存在40%</c:v>
                </c:pt>
                <c:pt idx="6">
                  <c:v>申请内容不明确2.1%</c:v>
                </c:pt>
                <c:pt idx="7">
                  <c:v>告知其他途径办理0.09%</c:v>
                </c:pt>
              </c:strCache>
            </c:strRef>
          </c:cat>
          <c:val>
            <c:numRef>
              <c:f>Sheet1!$B$382:$B$389</c:f>
              <c:numCache>
                <c:formatCode>0.00%</c:formatCode>
                <c:ptCount val="8"/>
                <c:pt idx="0">
                  <c:v>0.06</c:v>
                </c:pt>
                <c:pt idx="1">
                  <c:v>0.347</c:v>
                </c:pt>
                <c:pt idx="2">
                  <c:v>0.014</c:v>
                </c:pt>
                <c:pt idx="3">
                  <c:v>0.05</c:v>
                </c:pt>
                <c:pt idx="4">
                  <c:v>0.106</c:v>
                </c:pt>
                <c:pt idx="5">
                  <c:v>0.4</c:v>
                </c:pt>
                <c:pt idx="6">
                  <c:v>0.021</c:v>
                </c:pt>
                <c:pt idx="7">
                  <c:v>0.0009</c:v>
                </c:pt>
              </c:numCache>
            </c:numRef>
          </c:val>
        </c:ser>
        <c:dLbls>
          <c:showLegendKey val="0"/>
          <c:showVal val="0"/>
          <c:showCatName val="0"/>
          <c:showSerName val="0"/>
          <c:showPercent val="0"/>
          <c:showBubbleSize val="0"/>
        </c:dLbls>
      </c:pie3D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74B5E-E505-469A-B470-AF7EBDE94E5D}">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25</Pages>
  <Words>12753</Words>
  <Characters>13278</Characters>
  <Lines>101</Lines>
  <Paragraphs>28</Paragraphs>
  <TotalTime>1</TotalTime>
  <ScaleCrop>false</ScaleCrop>
  <LinksUpToDate>false</LinksUpToDate>
  <CharactersWithSpaces>13742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2018-03-20T07:17:00Z</dcterms:created>
  <dc:creator>User</dc:creator>
  <cp:lastModifiedBy>血月舞殇</cp:lastModifiedBy>
  <cp:lastPrinted>2018-02-07T10:04:00Z</cp:lastPrinted>
  <dcterms:modified xsi:type="dcterms:W3CDTF">2025-01-16T09:51:53Z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FD45F6C92F964B91BABE71314964A69F</vt:lpwstr>
  </property>
</Properties>
</file>