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北京市丰台区建筑行业管理处</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2025年部门预算情况说明</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cs="宋体"/>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一、部门情况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（一）部门机构设置、职责</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北京市丰台区建筑行业管理处为北京市丰台区人民政府下属一级单位,单位性质为参照公务员管理的全额拨款事业单位,无下属单位。</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北京市丰台区建筑行业管理处内设科室16个，分别为：综合管理办公室、城乡建设管理科、工程质量管理科、施工安全管理科、施工现场管理科 、建筑企业管理科、开发配套科、城市更新科、保障房建设管理科、危旧房改造管理科、招投标管理科、劳务管理科 、工程备案科、消防验收科、档案管理科、政务服务科。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主要职责是:</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1.贯彻落实国家关于建筑行业管理的法律法规、规章和政策；执行本市关于建筑行业管理的地方性法规、政府规章；配合研究我区建筑行业管理方面的重大问题,并提出相应措施。</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2.承担保障性住房等政策类住房建设协调方面的辅助性工作;承担棚户区及危旧房改造项目协调、管理方面的辅助性工作。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3.承担本区房地产开发项目监督管理方面的行政辅助工作;承担区域内房地产开发企业资质管理方面的行政辅助工作。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4.承担建筑工程招标投标监督管理方面的行政辅助工作。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5.承担本区建筑市场监督管理、规范市场秩序、推动建筑行业发展方面的行政辅助工作;承担本区权限范围内建筑企业资质审批和监督管理方面的行政辅助工作。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承担本区权限范围内建筑工程质量和施工安全监督方面的行政辅助工作;承担建筑工程消防验收方面的行政辅助工作;承担建筑施工企业安全生产许可证审批管理方面的行政辅助工作;承担建筑工地施工现场管理方面的行政辅助工作;参与建筑工程质量、施工安全事故调查处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7.指导本区村镇建筑工程建设,提供村镇建筑工程建设技术服务;组织指导农村危房改造、抗震节能农宅建设。</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8.承担建筑工程突发事故（件)、防汛、空气重污染等应急事件的预防处置等相关工作。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9.完成区委、区政府交办的其他任务。</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（二）人员构成情况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北京市丰台区建筑行业管理处部门行政编制0人，实际</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人；事业编制</w:t>
      </w:r>
      <w:r>
        <w:rPr>
          <w:rFonts w:hint="eastAsia" w:ascii="仿宋_GB2312" w:hAnsi="仿宋_GB2312" w:eastAsia="仿宋_GB2312" w:cs="仿宋_GB2312"/>
          <w:sz w:val="32"/>
          <w:szCs w:val="32"/>
          <w:lang w:val="en-US" w:eastAsia="zh-CN"/>
        </w:rPr>
        <w:t>90</w:t>
      </w:r>
      <w:r>
        <w:rPr>
          <w:rFonts w:hint="default" w:ascii="仿宋_GB2312" w:hAnsi="仿宋_GB2312" w:eastAsia="仿宋_GB2312" w:cs="仿宋_GB2312"/>
          <w:sz w:val="32"/>
          <w:szCs w:val="32"/>
          <w:lang w:val="en-US" w:eastAsia="zh-CN"/>
        </w:rPr>
        <w:t>人，实际</w:t>
      </w:r>
      <w:r>
        <w:rPr>
          <w:rFonts w:hint="eastAsia" w:ascii="仿宋_GB2312" w:hAnsi="仿宋_GB2312" w:eastAsia="仿宋_GB2312" w:cs="仿宋_GB2312"/>
          <w:sz w:val="32"/>
          <w:szCs w:val="32"/>
          <w:lang w:val="en-US" w:eastAsia="zh-CN"/>
        </w:rPr>
        <w:t>83</w:t>
      </w:r>
      <w:r>
        <w:rPr>
          <w:rFonts w:hint="default"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lang w:val="en-US" w:eastAsia="zh-CN"/>
        </w:rPr>
        <w:t>编制外长期</w:t>
      </w:r>
      <w:r>
        <w:rPr>
          <w:rFonts w:hint="default" w:ascii="仿宋_GB2312" w:hAnsi="仿宋_GB2312" w:eastAsia="仿宋_GB2312" w:cs="仿宋_GB2312"/>
          <w:sz w:val="32"/>
          <w:szCs w:val="32"/>
          <w:lang w:val="en-US" w:eastAsia="zh-CN"/>
        </w:rPr>
        <w:t>聘用人员</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人。离退休人员</w:t>
      </w:r>
      <w:r>
        <w:rPr>
          <w:rFonts w:hint="eastAsia" w:ascii="仿宋_GB2312" w:hAnsi="仿宋_GB2312" w:eastAsia="仿宋_GB2312" w:cs="仿宋_GB2312"/>
          <w:sz w:val="32"/>
          <w:szCs w:val="32"/>
          <w:lang w:val="en-US" w:eastAsia="zh-CN"/>
        </w:rPr>
        <w:t>57</w:t>
      </w:r>
      <w:r>
        <w:rPr>
          <w:rFonts w:hint="default" w:ascii="仿宋_GB2312" w:hAnsi="仿宋_GB2312" w:eastAsia="仿宋_GB2312" w:cs="仿宋_GB2312"/>
          <w:sz w:val="32"/>
          <w:szCs w:val="32"/>
          <w:lang w:val="en-US" w:eastAsia="zh-CN"/>
        </w:rPr>
        <w:t>人，其中：离休</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人，退休</w:t>
      </w:r>
      <w:r>
        <w:rPr>
          <w:rFonts w:hint="eastAsia" w:ascii="仿宋_GB2312" w:hAnsi="仿宋_GB2312" w:eastAsia="仿宋_GB2312" w:cs="仿宋_GB2312"/>
          <w:sz w:val="32"/>
          <w:szCs w:val="32"/>
          <w:lang w:val="en-US" w:eastAsia="zh-CN"/>
        </w:rPr>
        <w:t>57</w:t>
      </w:r>
      <w:r>
        <w:rPr>
          <w:rFonts w:hint="default" w:ascii="仿宋_GB2312" w:hAnsi="仿宋_GB2312" w:eastAsia="仿宋_GB2312" w:cs="仿宋_GB2312"/>
          <w:sz w:val="32"/>
          <w:szCs w:val="32"/>
          <w:lang w:val="en-US" w:eastAsia="zh-CN"/>
        </w:rPr>
        <w:t>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本预算年度的主要工作任务</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强行业管理。坚决整治各类安全隐患，做好辖区内限额以下工程安全生产监督管理和服务，着力提升安全教育质量及效果，强化参建各方安全生产主体责任落实，保障建筑施工领域安全生产形势持续稳定。推广智慧工地建设，推进信息技术在建筑工地的应用，推动全区建筑施工安全管理工作再上新台阶。分阶段开展专项治理行动，持续提升建设工程质量管理水平。加强施工现场管理，充分利用视频巡查手段，对我区建筑工地进行全覆盖监督，持续深入推行新开工工程六方联合验收交底。促进施工围挡整治提升，联合相关行业部门共同监督、规范施工围挡布设工作等。</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二、收入预算</w:t>
      </w:r>
      <w:r>
        <w:rPr>
          <w:rFonts w:hint="eastAsia" w:ascii="黑体" w:hAnsi="黑体" w:eastAsia="黑体" w:cs="黑体"/>
          <w:color w:val="auto"/>
          <w:sz w:val="32"/>
          <w:szCs w:val="32"/>
          <w:lang w:val="en-US" w:eastAsia="zh-CN"/>
        </w:rPr>
        <w:t>情况</w:t>
      </w:r>
      <w:r>
        <w:rPr>
          <w:rFonts w:hint="default" w:ascii="黑体" w:hAnsi="黑体" w:eastAsia="黑体" w:cs="黑体"/>
          <w:sz w:val="32"/>
          <w:szCs w:val="32"/>
          <w:lang w:val="en-US" w:eastAsia="zh-CN"/>
        </w:rPr>
        <w:t>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w:t>
      </w:r>
      <w:r>
        <w:rPr>
          <w:rFonts w:hint="default" w:ascii="仿宋_GB2312" w:hAnsi="仿宋_GB2312" w:eastAsia="仿宋_GB2312" w:cs="仿宋_GB2312"/>
          <w:sz w:val="32"/>
          <w:szCs w:val="32"/>
          <w:lang w:val="en-US" w:eastAsia="zh-CN"/>
        </w:rPr>
        <w:t>年收入预算</w:t>
      </w:r>
      <w:r>
        <w:rPr>
          <w:rFonts w:hint="eastAsia" w:ascii="仿宋_GB2312" w:hAnsi="仿宋_GB2312" w:eastAsia="仿宋_GB2312" w:cs="仿宋_GB2312"/>
          <w:sz w:val="32"/>
          <w:szCs w:val="32"/>
          <w:lang w:val="en-US" w:eastAsia="zh-CN"/>
        </w:rPr>
        <w:t>3,660.65</w:t>
      </w:r>
      <w:r>
        <w:rPr>
          <w:rFonts w:hint="default" w:ascii="仿宋_GB2312" w:hAnsi="仿宋_GB2312" w:eastAsia="仿宋_GB2312" w:cs="仿宋_GB2312"/>
          <w:sz w:val="32"/>
          <w:szCs w:val="32"/>
          <w:lang w:val="en-US" w:eastAsia="zh-CN"/>
        </w:rPr>
        <w:t>万元，比</w:t>
      </w:r>
      <w:r>
        <w:rPr>
          <w:rFonts w:hint="eastAsia" w:ascii="仿宋_GB2312" w:hAnsi="仿宋_GB2312" w:eastAsia="仿宋_GB2312" w:cs="仿宋_GB2312"/>
          <w:sz w:val="32"/>
          <w:szCs w:val="32"/>
          <w:lang w:val="en-US" w:eastAsia="zh-CN"/>
        </w:rPr>
        <w:t>2024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3,857.53</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减少196.88</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降低5.1</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val="en-US" w:eastAsia="zh-CN"/>
        </w:rPr>
        <w:t>，主要原因基本经费减少38.69</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，项目经费减少158.19</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，合计减少196.88</w:t>
      </w:r>
      <w:r>
        <w:rPr>
          <w:rFonts w:hint="default" w:ascii="仿宋_GB2312" w:hAnsi="仿宋_GB2312" w:eastAsia="仿宋_GB2312" w:cs="仿宋_GB2312"/>
          <w:sz w:val="32"/>
          <w:szCs w:val="32"/>
          <w:highlight w:val="none"/>
          <w:lang w:val="en-US" w:eastAsia="zh-CN"/>
        </w:rPr>
        <w:t>万元。其</w:t>
      </w:r>
      <w:r>
        <w:rPr>
          <w:rFonts w:hint="default" w:ascii="仿宋_GB2312" w:hAnsi="仿宋_GB2312" w:eastAsia="仿宋_GB2312" w:cs="仿宋_GB2312"/>
          <w:sz w:val="32"/>
          <w:szCs w:val="32"/>
          <w:lang w:val="en-US" w:eastAsia="zh-CN"/>
        </w:rPr>
        <w:t>中：本年财政拨款收入</w:t>
      </w:r>
      <w:r>
        <w:rPr>
          <w:rFonts w:hint="eastAsia" w:ascii="仿宋_GB2312" w:hAnsi="仿宋_GB2312" w:eastAsia="仿宋_GB2312" w:cs="仿宋_GB2312"/>
          <w:sz w:val="32"/>
          <w:szCs w:val="32"/>
          <w:lang w:val="en-US" w:eastAsia="zh-CN"/>
        </w:rPr>
        <w:t>3,660.65</w:t>
      </w:r>
      <w:r>
        <w:rPr>
          <w:rFonts w:hint="default" w:ascii="仿宋_GB2312" w:hAnsi="仿宋_GB2312" w:eastAsia="仿宋_GB2312" w:cs="仿宋_GB2312"/>
          <w:sz w:val="32"/>
          <w:szCs w:val="32"/>
          <w:lang w:val="en-US" w:eastAsia="zh-CN"/>
        </w:rPr>
        <w:t>万元,比</w:t>
      </w:r>
      <w:r>
        <w:rPr>
          <w:rFonts w:hint="eastAsia" w:ascii="仿宋_GB2312" w:hAnsi="仿宋_GB2312" w:eastAsia="仿宋_GB2312" w:cs="仿宋_GB2312"/>
          <w:sz w:val="32"/>
          <w:szCs w:val="32"/>
          <w:lang w:val="en-US" w:eastAsia="zh-CN"/>
        </w:rPr>
        <w:t>2024</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3,857.53</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减少196.88</w:t>
      </w:r>
      <w:r>
        <w:rPr>
          <w:rFonts w:hint="default" w:ascii="仿宋_GB2312" w:hAnsi="仿宋_GB2312" w:eastAsia="仿宋_GB2312" w:cs="仿宋_GB2312"/>
          <w:sz w:val="32"/>
          <w:szCs w:val="32"/>
          <w:lang w:val="en-US" w:eastAsia="zh-CN"/>
        </w:rPr>
        <w:t>万元；本年其他资金收入</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万元,与</w:t>
      </w:r>
      <w:r>
        <w:rPr>
          <w:rFonts w:hint="eastAsia" w:ascii="仿宋_GB2312" w:hAnsi="仿宋_GB2312" w:eastAsia="仿宋_GB2312" w:cs="仿宋_GB2312"/>
          <w:sz w:val="32"/>
          <w:szCs w:val="32"/>
          <w:lang w:val="en-US" w:eastAsia="zh-CN"/>
        </w:rPr>
        <w:t>2024</w:t>
      </w:r>
      <w:r>
        <w:rPr>
          <w:rFonts w:hint="default" w:ascii="仿宋_GB2312" w:hAnsi="仿宋_GB2312" w:eastAsia="仿宋_GB2312" w:cs="仿宋_GB2312"/>
          <w:sz w:val="32"/>
          <w:szCs w:val="32"/>
          <w:lang w:val="en-US" w:eastAsia="zh-CN"/>
        </w:rPr>
        <w:t>年持平</w:t>
      </w:r>
      <w:r>
        <w:rPr>
          <w:rFonts w:hint="default" w:ascii="仿宋_GB2312" w:hAnsi="仿宋_GB2312" w:eastAsia="仿宋_GB2312" w:cs="仿宋_GB2312"/>
          <w:sz w:val="32"/>
          <w:szCs w:val="32"/>
          <w:highlight w:val="none"/>
          <w:lang w:val="en-US" w:eastAsia="zh-CN"/>
        </w:rPr>
        <w:t>；上年结转结余资金</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lang w:val="en-US" w:eastAsia="zh-CN"/>
        </w:rPr>
        <w:t>万元,与</w:t>
      </w:r>
      <w:r>
        <w:rPr>
          <w:rFonts w:hint="eastAsia" w:ascii="仿宋_GB2312" w:hAnsi="仿宋_GB2312" w:eastAsia="仿宋_GB2312" w:cs="仿宋_GB2312"/>
          <w:sz w:val="32"/>
          <w:szCs w:val="32"/>
          <w:lang w:val="en-US" w:eastAsia="zh-CN"/>
        </w:rPr>
        <w:t>2024</w:t>
      </w:r>
      <w:r>
        <w:rPr>
          <w:rFonts w:hint="default" w:ascii="仿宋_GB2312" w:hAnsi="仿宋_GB2312" w:eastAsia="仿宋_GB2312" w:cs="仿宋_GB2312"/>
          <w:sz w:val="32"/>
          <w:szCs w:val="32"/>
          <w:lang w:val="en-US" w:eastAsia="zh-CN"/>
        </w:rPr>
        <w:t>年持平。</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三、支出预算</w:t>
      </w:r>
      <w:r>
        <w:rPr>
          <w:rFonts w:hint="eastAsia" w:ascii="黑体" w:hAnsi="黑体" w:eastAsia="黑体" w:cs="黑体"/>
          <w:sz w:val="32"/>
          <w:szCs w:val="32"/>
          <w:lang w:val="en-US" w:eastAsia="zh-CN"/>
        </w:rPr>
        <w:t>情况</w:t>
      </w:r>
      <w:r>
        <w:rPr>
          <w:rFonts w:hint="default" w:ascii="黑体" w:hAnsi="黑体" w:eastAsia="黑体" w:cs="黑体"/>
          <w:sz w:val="32"/>
          <w:szCs w:val="32"/>
          <w:lang w:val="en-US" w:eastAsia="zh-CN"/>
        </w:rPr>
        <w:t>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2025</w:t>
      </w:r>
      <w:r>
        <w:rPr>
          <w:rFonts w:hint="default"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lang w:val="en-US" w:eastAsia="zh-CN"/>
        </w:rPr>
        <w:t>支出</w:t>
      </w:r>
      <w:r>
        <w:rPr>
          <w:rFonts w:hint="default" w:ascii="仿宋_GB2312" w:hAnsi="仿宋_GB2312" w:eastAsia="仿宋_GB2312" w:cs="仿宋_GB2312"/>
          <w:sz w:val="32"/>
          <w:szCs w:val="32"/>
          <w:highlight w:val="none"/>
          <w:lang w:val="en-US" w:eastAsia="zh-CN"/>
        </w:rPr>
        <w:t>预算</w:t>
      </w:r>
      <w:r>
        <w:rPr>
          <w:rFonts w:hint="eastAsia" w:ascii="仿宋_GB2312" w:hAnsi="仿宋_GB2312" w:eastAsia="仿宋_GB2312" w:cs="仿宋_GB2312"/>
          <w:sz w:val="32"/>
          <w:szCs w:val="32"/>
          <w:lang w:val="en-US" w:eastAsia="zh-CN"/>
        </w:rPr>
        <w:t>3,660.65</w:t>
      </w:r>
      <w:r>
        <w:rPr>
          <w:rFonts w:hint="default" w:ascii="仿宋_GB2312" w:hAnsi="仿宋_GB2312" w:eastAsia="仿宋_GB2312" w:cs="仿宋_GB2312"/>
          <w:sz w:val="32"/>
          <w:szCs w:val="32"/>
          <w:highlight w:val="none"/>
          <w:lang w:val="en-US" w:eastAsia="zh-CN"/>
        </w:rPr>
        <w:t>万元，比</w:t>
      </w:r>
      <w:r>
        <w:rPr>
          <w:rFonts w:hint="eastAsia" w:ascii="仿宋_GB2312" w:hAnsi="仿宋_GB2312" w:eastAsia="仿宋_GB2312" w:cs="仿宋_GB2312"/>
          <w:sz w:val="32"/>
          <w:szCs w:val="32"/>
          <w:highlight w:val="none"/>
          <w:lang w:val="en-US" w:eastAsia="zh-CN"/>
        </w:rPr>
        <w:t>2024</w:t>
      </w:r>
      <w:r>
        <w:rPr>
          <w:rFonts w:hint="default"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lang w:val="en-US" w:eastAsia="zh-CN"/>
        </w:rPr>
        <w:t>3,857.53</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lang w:val="en-US" w:eastAsia="zh-CN"/>
        </w:rPr>
        <w:t>减少196.88</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降低5.1</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highlight w:val="none"/>
          <w:lang w:val="en-US" w:eastAsia="zh-CN"/>
        </w:rPr>
        <w:t>，主要原因基本经费减少38.69</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，项目经费减少158.19</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，合计减少196.88</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highlight w:val="none"/>
          <w:lang w:val="en-US" w:eastAsia="zh-CN"/>
        </w:rPr>
        <w:t>（一）基本支出预算</w:t>
      </w:r>
      <w:r>
        <w:rPr>
          <w:rFonts w:hint="eastAsia" w:ascii="仿宋_GB2312" w:hAnsi="仿宋_GB2312" w:eastAsia="仿宋_GB2312" w:cs="仿宋_GB2312"/>
          <w:sz w:val="32"/>
          <w:szCs w:val="32"/>
          <w:lang w:val="en-US" w:eastAsia="zh-CN"/>
        </w:rPr>
        <w:t>2，988.67</w:t>
      </w:r>
      <w:r>
        <w:rPr>
          <w:rFonts w:hint="default" w:ascii="仿宋_GB2312" w:hAnsi="仿宋_GB2312" w:eastAsia="仿宋_GB2312" w:cs="仿宋_GB2312"/>
          <w:sz w:val="32"/>
          <w:szCs w:val="32"/>
          <w:highlight w:val="none"/>
          <w:lang w:val="en-US" w:eastAsia="zh-CN"/>
        </w:rPr>
        <w:t>万</w:t>
      </w:r>
      <w:r>
        <w:rPr>
          <w:rFonts w:hint="default" w:ascii="仿宋_GB2312" w:hAnsi="仿宋_GB2312" w:eastAsia="仿宋_GB2312" w:cs="仿宋_GB2312"/>
          <w:sz w:val="32"/>
          <w:szCs w:val="32"/>
          <w:lang w:val="en-US" w:eastAsia="zh-CN"/>
        </w:rPr>
        <w:t>元，占总支出预算</w:t>
      </w:r>
      <w:r>
        <w:rPr>
          <w:rFonts w:hint="eastAsia" w:ascii="仿宋_GB2312" w:hAnsi="仿宋_GB2312" w:eastAsia="仿宋_GB2312" w:cs="仿宋_GB2312"/>
          <w:sz w:val="32"/>
          <w:szCs w:val="32"/>
          <w:lang w:val="en-US" w:eastAsia="zh-CN"/>
        </w:rPr>
        <w:t>81.64</w:t>
      </w:r>
      <w:r>
        <w:rPr>
          <w:rFonts w:hint="default" w:ascii="仿宋_GB2312" w:hAnsi="仿宋_GB2312" w:eastAsia="仿宋_GB2312" w:cs="仿宋_GB2312"/>
          <w:sz w:val="32"/>
          <w:szCs w:val="32"/>
          <w:lang w:val="en-US" w:eastAsia="zh-CN"/>
        </w:rPr>
        <w:t>%，比</w:t>
      </w:r>
      <w:r>
        <w:rPr>
          <w:rFonts w:hint="eastAsia" w:ascii="仿宋_GB2312" w:hAnsi="仿宋_GB2312" w:eastAsia="仿宋_GB2312" w:cs="仿宋_GB2312"/>
          <w:sz w:val="32"/>
          <w:szCs w:val="32"/>
          <w:lang w:val="en-US" w:eastAsia="zh-CN"/>
        </w:rPr>
        <w:t>2024</w:t>
      </w:r>
      <w:r>
        <w:rPr>
          <w:rFonts w:hint="default"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highlight w:val="none"/>
          <w:lang w:val="en-US" w:eastAsia="zh-CN"/>
        </w:rPr>
        <w:t>3,027.36</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减少38.69</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降低1.28</w:t>
      </w:r>
      <w:r>
        <w:rPr>
          <w:rFonts w:hint="default"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（二）项目支出预算</w:t>
      </w:r>
      <w:r>
        <w:rPr>
          <w:rFonts w:hint="eastAsia" w:ascii="仿宋_GB2312" w:hAnsi="仿宋_GB2312" w:eastAsia="仿宋_GB2312" w:cs="仿宋_GB2312"/>
          <w:sz w:val="32"/>
          <w:szCs w:val="32"/>
          <w:lang w:val="en-US" w:eastAsia="zh-CN"/>
        </w:rPr>
        <w:t>671.98</w:t>
      </w:r>
      <w:r>
        <w:rPr>
          <w:rFonts w:hint="default" w:ascii="仿宋_GB2312" w:hAnsi="仿宋_GB2312" w:eastAsia="仿宋_GB2312" w:cs="仿宋_GB2312"/>
          <w:sz w:val="32"/>
          <w:szCs w:val="32"/>
          <w:lang w:val="en-US" w:eastAsia="zh-CN"/>
        </w:rPr>
        <w:t>万元，比202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年830.17万元</w:t>
      </w:r>
      <w:r>
        <w:rPr>
          <w:rFonts w:hint="eastAsia" w:ascii="仿宋_GB2312" w:hAnsi="仿宋_GB2312" w:eastAsia="仿宋_GB2312" w:cs="仿宋_GB2312"/>
          <w:sz w:val="32"/>
          <w:szCs w:val="32"/>
          <w:lang w:val="en-US" w:eastAsia="zh-CN"/>
        </w:rPr>
        <w:t>减少158.19</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降低19.06</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主要原因减少了应急抢险能力建设工作经费项目，建设工程施工现场监督协管员经费、建筑材料及构配件抽查检测、危险性较大的分部分项工程安全检测费、附着式升降脚手架安全检测费等项目预算均有不同程度的减少</w:t>
      </w:r>
      <w:r>
        <w:rPr>
          <w:rFonts w:hint="default" w:ascii="仿宋_GB2312" w:hAnsi="仿宋_GB2312" w:eastAsia="仿宋_GB2312" w:cs="仿宋_GB2312"/>
          <w:sz w:val="32"/>
          <w:szCs w:val="32"/>
          <w:lang w:val="en-US" w:eastAsia="zh-CN"/>
        </w:rPr>
        <w:t>。部门预算项目主要为</w:t>
      </w:r>
      <w:r>
        <w:rPr>
          <w:rFonts w:hint="eastAsia" w:ascii="仿宋_GB2312" w:hAnsi="仿宋_GB2312" w:eastAsia="仿宋_GB2312" w:cs="仿宋_GB2312"/>
          <w:sz w:val="32"/>
          <w:szCs w:val="32"/>
          <w:lang w:val="en-US" w:eastAsia="zh-CN"/>
        </w:rPr>
        <w:t>2025年丰台区建设工程施工现场监督管理员专项经费、2025年丰台区建设工程施工现场监督管理员补贴经费、2024年丰台区建设工程施工现场监督管理员终止劳动合同补偿经费、2025年附着式升降脚手架安全检测费、2025年建筑起重机械安全检测费、2025年危险性较大的分部分项工程安全检测费、2025年现场监督执法网络费、2025年消防验收技术咨询及服务、2025年建筑材料及构配件抽查检测费、2025年办公设备购置</w:t>
      </w:r>
      <w:r>
        <w:rPr>
          <w:rFonts w:hint="default" w:ascii="仿宋_GB2312" w:hAnsi="仿宋_GB2312" w:eastAsia="仿宋_GB2312" w:cs="仿宋_GB2312"/>
          <w:sz w:val="32"/>
          <w:szCs w:val="32"/>
          <w:lang w:val="en-US" w:eastAsia="zh-CN"/>
        </w:rPr>
        <w:t>经费</w:t>
      </w:r>
      <w:r>
        <w:rPr>
          <w:rFonts w:hint="eastAsia" w:ascii="仿宋_GB2312" w:hAnsi="仿宋_GB2312" w:eastAsia="仿宋_GB2312" w:cs="仿宋_GB2312"/>
          <w:sz w:val="32"/>
          <w:szCs w:val="32"/>
          <w:lang w:val="en-US" w:eastAsia="zh-CN"/>
        </w:rPr>
        <w:t>等。</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（三）事业单位经营支出</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（四）上缴上级支出</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（五）对附属单位补助支出</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四、财政拨款</w:t>
      </w:r>
      <w:r>
        <w:rPr>
          <w:rFonts w:hint="eastAsia" w:ascii="黑体" w:hAnsi="黑体" w:eastAsia="黑体" w:cs="黑体"/>
          <w:sz w:val="32"/>
          <w:szCs w:val="32"/>
          <w:lang w:val="en-US" w:eastAsia="zh-CN"/>
        </w:rPr>
        <w:t>“</w:t>
      </w:r>
      <w:r>
        <w:rPr>
          <w:rFonts w:hint="default" w:ascii="黑体" w:hAnsi="黑体" w:eastAsia="黑体" w:cs="黑体"/>
          <w:sz w:val="32"/>
          <w:szCs w:val="32"/>
          <w:lang w:val="en-US" w:eastAsia="zh-CN"/>
        </w:rPr>
        <w:t>三公</w:t>
      </w:r>
      <w:r>
        <w:rPr>
          <w:rFonts w:hint="eastAsia" w:ascii="黑体" w:hAnsi="黑体" w:eastAsia="黑体" w:cs="黑体"/>
          <w:sz w:val="32"/>
          <w:szCs w:val="32"/>
          <w:lang w:val="en-US" w:eastAsia="zh-CN"/>
        </w:rPr>
        <w:t>”</w:t>
      </w:r>
      <w:r>
        <w:rPr>
          <w:rFonts w:hint="default" w:ascii="黑体" w:hAnsi="黑体" w:eastAsia="黑体" w:cs="黑体"/>
          <w:sz w:val="32"/>
          <w:szCs w:val="32"/>
          <w:lang w:val="en-US" w:eastAsia="zh-CN"/>
        </w:rPr>
        <w:t>经费预算</w:t>
      </w:r>
      <w:r>
        <w:rPr>
          <w:rFonts w:hint="eastAsia" w:ascii="黑体" w:hAnsi="黑体" w:eastAsia="黑体" w:cs="黑体"/>
          <w:sz w:val="32"/>
          <w:szCs w:val="32"/>
          <w:lang w:val="en-US" w:eastAsia="zh-CN"/>
        </w:rPr>
        <w:t>情况</w:t>
      </w:r>
      <w:r>
        <w:rPr>
          <w:rFonts w:hint="default" w:ascii="黑体" w:hAnsi="黑体" w:eastAsia="黑体" w:cs="黑体"/>
          <w:sz w:val="32"/>
          <w:szCs w:val="32"/>
          <w:lang w:val="en-US" w:eastAsia="zh-CN"/>
        </w:rPr>
        <w:t>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三公</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经费的单位范围</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北京市丰台区建筑行业管理处</w:t>
      </w:r>
      <w:r>
        <w:rPr>
          <w:rFonts w:hint="default" w:ascii="仿宋_GB2312" w:hAnsi="仿宋_GB2312" w:eastAsia="仿宋_GB2312" w:cs="仿宋_GB2312"/>
          <w:sz w:val="32"/>
          <w:szCs w:val="32"/>
          <w:highlight w:val="none"/>
          <w:lang w:val="en-US" w:eastAsia="zh-CN"/>
        </w:rPr>
        <w:t>部门因公出国（境）费用、公务接待费、公务用车购置和运行维护费开支单位包括</w:t>
      </w:r>
      <w:r>
        <w:rPr>
          <w:rFonts w:hint="eastAsia" w:ascii="仿宋_GB2312" w:hAnsi="仿宋_GB2312" w:eastAsia="仿宋_GB2312" w:cs="仿宋_GB2312"/>
          <w:sz w:val="32"/>
          <w:szCs w:val="32"/>
          <w:highlight w:val="none"/>
          <w:lang w:val="en-US" w:eastAsia="zh-CN"/>
        </w:rPr>
        <w:t>1</w:t>
      </w:r>
      <w:r>
        <w:rPr>
          <w:rFonts w:hint="default" w:ascii="仿宋_GB2312" w:hAnsi="仿宋_GB2312" w:eastAsia="仿宋_GB2312" w:cs="仿宋_GB2312"/>
          <w:sz w:val="32"/>
          <w:szCs w:val="32"/>
          <w:highlight w:val="none"/>
          <w:lang w:val="en-US" w:eastAsia="zh-CN"/>
        </w:rPr>
        <w:t>个所属单位。</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财政拨款</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三公</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经费情况说明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2025</w:t>
      </w:r>
      <w:r>
        <w:rPr>
          <w:rFonts w:hint="default" w:ascii="仿宋_GB2312" w:hAnsi="仿宋_GB2312" w:eastAsia="仿宋_GB2312" w:cs="仿宋_GB2312"/>
          <w:sz w:val="32"/>
          <w:szCs w:val="32"/>
          <w:highlight w:val="none"/>
          <w:lang w:val="en-US" w:eastAsia="zh-CN"/>
        </w:rPr>
        <w:t>年财政拨款</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三公</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经费预算</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万元，比</w:t>
      </w:r>
      <w:r>
        <w:rPr>
          <w:rFonts w:hint="eastAsia" w:ascii="仿宋_GB2312" w:hAnsi="仿宋_GB2312" w:eastAsia="仿宋_GB2312" w:cs="仿宋_GB2312"/>
          <w:sz w:val="32"/>
          <w:szCs w:val="32"/>
          <w:highlight w:val="none"/>
          <w:lang w:val="en-US" w:eastAsia="zh-CN"/>
        </w:rPr>
        <w:t>2024</w:t>
      </w:r>
      <w:r>
        <w:rPr>
          <w:rFonts w:hint="default"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三公</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经费财政拨款预算增加或减少</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万元。其中：</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1.因公出国（境）费用。</w:t>
      </w:r>
      <w:r>
        <w:rPr>
          <w:rFonts w:hint="eastAsia" w:ascii="仿宋_GB2312" w:hAnsi="仿宋_GB2312" w:eastAsia="仿宋_GB2312" w:cs="仿宋_GB2312"/>
          <w:sz w:val="32"/>
          <w:szCs w:val="32"/>
          <w:highlight w:val="none"/>
          <w:lang w:val="en-US" w:eastAsia="zh-CN"/>
        </w:rPr>
        <w:t>2025</w:t>
      </w:r>
      <w:r>
        <w:rPr>
          <w:rFonts w:hint="default" w:ascii="仿宋_GB2312" w:hAnsi="仿宋_GB2312" w:eastAsia="仿宋_GB2312" w:cs="仿宋_GB2312"/>
          <w:sz w:val="32"/>
          <w:szCs w:val="32"/>
          <w:highlight w:val="none"/>
          <w:lang w:val="en-US" w:eastAsia="zh-CN"/>
        </w:rPr>
        <w:t>年预算数</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万元，与</w:t>
      </w:r>
      <w:r>
        <w:rPr>
          <w:rFonts w:hint="eastAsia" w:ascii="仿宋_GB2312" w:hAnsi="仿宋_GB2312" w:eastAsia="仿宋_GB2312" w:cs="仿宋_GB2312"/>
          <w:sz w:val="32"/>
          <w:szCs w:val="32"/>
          <w:highlight w:val="none"/>
          <w:lang w:val="en-US" w:eastAsia="zh-CN"/>
        </w:rPr>
        <w:t>2024</w:t>
      </w:r>
      <w:r>
        <w:rPr>
          <w:rFonts w:hint="default" w:ascii="仿宋_GB2312" w:hAnsi="仿宋_GB2312" w:eastAsia="仿宋_GB2312" w:cs="仿宋_GB2312"/>
          <w:sz w:val="32"/>
          <w:szCs w:val="32"/>
          <w:highlight w:val="none"/>
          <w:lang w:val="en-US" w:eastAsia="zh-CN"/>
        </w:rPr>
        <w:t>年持平。</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2.公务接待费。</w:t>
      </w:r>
      <w:r>
        <w:rPr>
          <w:rFonts w:hint="eastAsia" w:ascii="仿宋_GB2312" w:hAnsi="仿宋_GB2312" w:eastAsia="仿宋_GB2312" w:cs="仿宋_GB2312"/>
          <w:sz w:val="32"/>
          <w:szCs w:val="32"/>
          <w:highlight w:val="none"/>
          <w:lang w:val="en-US" w:eastAsia="zh-CN"/>
        </w:rPr>
        <w:t>2025</w:t>
      </w:r>
      <w:r>
        <w:rPr>
          <w:rFonts w:hint="default" w:ascii="仿宋_GB2312" w:hAnsi="仿宋_GB2312" w:eastAsia="仿宋_GB2312" w:cs="仿宋_GB2312"/>
          <w:sz w:val="32"/>
          <w:szCs w:val="32"/>
          <w:highlight w:val="none"/>
          <w:lang w:val="en-US" w:eastAsia="zh-CN"/>
        </w:rPr>
        <w:t>年预算数</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万元，与</w:t>
      </w:r>
      <w:r>
        <w:rPr>
          <w:rFonts w:hint="eastAsia" w:ascii="仿宋_GB2312" w:hAnsi="仿宋_GB2312" w:eastAsia="仿宋_GB2312" w:cs="仿宋_GB2312"/>
          <w:sz w:val="32"/>
          <w:szCs w:val="32"/>
          <w:highlight w:val="none"/>
          <w:lang w:val="en-US" w:eastAsia="zh-CN"/>
        </w:rPr>
        <w:t>2024</w:t>
      </w:r>
      <w:r>
        <w:rPr>
          <w:rFonts w:hint="default" w:ascii="仿宋_GB2312" w:hAnsi="仿宋_GB2312" w:eastAsia="仿宋_GB2312" w:cs="仿宋_GB2312"/>
          <w:sz w:val="32"/>
          <w:szCs w:val="32"/>
          <w:highlight w:val="none"/>
          <w:lang w:val="en-US" w:eastAsia="zh-CN"/>
        </w:rPr>
        <w:t>年持平。</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3.公务用车购置和运行维护费。</w:t>
      </w:r>
      <w:r>
        <w:rPr>
          <w:rFonts w:hint="eastAsia" w:ascii="仿宋_GB2312" w:hAnsi="仿宋_GB2312" w:eastAsia="仿宋_GB2312" w:cs="仿宋_GB2312"/>
          <w:sz w:val="32"/>
          <w:szCs w:val="32"/>
          <w:highlight w:val="none"/>
          <w:lang w:val="en-US" w:eastAsia="zh-CN"/>
        </w:rPr>
        <w:t>2025</w:t>
      </w:r>
      <w:r>
        <w:rPr>
          <w:rFonts w:hint="default" w:ascii="仿宋_GB2312" w:hAnsi="仿宋_GB2312" w:eastAsia="仿宋_GB2312" w:cs="仿宋_GB2312"/>
          <w:sz w:val="32"/>
          <w:szCs w:val="32"/>
          <w:highlight w:val="none"/>
          <w:lang w:val="en-US" w:eastAsia="zh-CN"/>
        </w:rPr>
        <w:t>年预算数</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万元，其中，公务用车购置费</w:t>
      </w:r>
      <w:r>
        <w:rPr>
          <w:rFonts w:hint="eastAsia" w:ascii="仿宋_GB2312" w:hAnsi="仿宋_GB2312" w:eastAsia="仿宋_GB2312" w:cs="仿宋_GB2312"/>
          <w:sz w:val="32"/>
          <w:szCs w:val="32"/>
          <w:highlight w:val="none"/>
          <w:lang w:val="en-US" w:eastAsia="zh-CN"/>
        </w:rPr>
        <w:t>2025</w:t>
      </w:r>
      <w:r>
        <w:rPr>
          <w:rFonts w:hint="default" w:ascii="仿宋_GB2312" w:hAnsi="仿宋_GB2312" w:eastAsia="仿宋_GB2312" w:cs="仿宋_GB2312"/>
          <w:sz w:val="32"/>
          <w:szCs w:val="32"/>
          <w:highlight w:val="none"/>
          <w:lang w:val="en-US" w:eastAsia="zh-CN"/>
        </w:rPr>
        <w:t>年预算数</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万元，与</w:t>
      </w:r>
      <w:r>
        <w:rPr>
          <w:rFonts w:hint="eastAsia" w:ascii="仿宋_GB2312" w:hAnsi="仿宋_GB2312" w:eastAsia="仿宋_GB2312" w:cs="仿宋_GB2312"/>
          <w:sz w:val="32"/>
          <w:szCs w:val="32"/>
          <w:highlight w:val="none"/>
          <w:lang w:val="en-US" w:eastAsia="zh-CN"/>
        </w:rPr>
        <w:t>2024</w:t>
      </w:r>
      <w:r>
        <w:rPr>
          <w:rFonts w:hint="default" w:ascii="仿宋_GB2312" w:hAnsi="仿宋_GB2312" w:eastAsia="仿宋_GB2312" w:cs="仿宋_GB2312"/>
          <w:sz w:val="32"/>
          <w:szCs w:val="32"/>
          <w:highlight w:val="none"/>
          <w:lang w:val="en-US" w:eastAsia="zh-CN"/>
        </w:rPr>
        <w:t>年持平；公务用车运行维护费</w:t>
      </w:r>
      <w:r>
        <w:rPr>
          <w:rFonts w:hint="eastAsia" w:ascii="仿宋_GB2312" w:hAnsi="仿宋_GB2312" w:eastAsia="仿宋_GB2312" w:cs="仿宋_GB2312"/>
          <w:sz w:val="32"/>
          <w:szCs w:val="32"/>
          <w:highlight w:val="none"/>
          <w:lang w:val="en-US" w:eastAsia="zh-CN"/>
        </w:rPr>
        <w:t>2025</w:t>
      </w:r>
      <w:r>
        <w:rPr>
          <w:rFonts w:hint="default" w:ascii="仿宋_GB2312" w:hAnsi="仿宋_GB2312" w:eastAsia="仿宋_GB2312" w:cs="仿宋_GB2312"/>
          <w:sz w:val="32"/>
          <w:szCs w:val="32"/>
          <w:highlight w:val="none"/>
          <w:lang w:val="en-US" w:eastAsia="zh-CN"/>
        </w:rPr>
        <w:t>年预算数</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万元，其中：公务用车加油</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万元，公务用车维修</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万元，公务用车保险</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万元，其他</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与</w:t>
      </w:r>
      <w:r>
        <w:rPr>
          <w:rFonts w:hint="eastAsia" w:ascii="仿宋_GB2312" w:hAnsi="仿宋_GB2312" w:eastAsia="仿宋_GB2312" w:cs="仿宋_GB2312"/>
          <w:sz w:val="32"/>
          <w:szCs w:val="32"/>
          <w:highlight w:val="none"/>
          <w:lang w:val="en-US" w:eastAsia="zh-CN"/>
        </w:rPr>
        <w:t>2024</w:t>
      </w:r>
      <w:r>
        <w:rPr>
          <w:rFonts w:hint="default" w:ascii="仿宋_GB2312" w:hAnsi="仿宋_GB2312" w:eastAsia="仿宋_GB2312" w:cs="仿宋_GB2312"/>
          <w:sz w:val="32"/>
          <w:szCs w:val="32"/>
          <w:highlight w:val="none"/>
          <w:lang w:val="en-US" w:eastAsia="zh-CN"/>
        </w:rPr>
        <w:t>年持平。</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五、其他情况说明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（一）政府采购预算</w:t>
      </w:r>
      <w:r>
        <w:rPr>
          <w:rFonts w:hint="eastAsia" w:ascii="楷体_GB2312" w:hAnsi="楷体_GB2312" w:eastAsia="楷体_GB2312" w:cs="楷体_GB2312"/>
          <w:sz w:val="32"/>
          <w:szCs w:val="32"/>
          <w:lang w:val="en-US" w:eastAsia="zh-CN"/>
        </w:rPr>
        <w:t>情况</w:t>
      </w:r>
      <w:r>
        <w:rPr>
          <w:rFonts w:hint="default" w:ascii="楷体_GB2312" w:hAnsi="楷体_GB2312" w:eastAsia="楷体_GB2312" w:cs="楷体_GB2312"/>
          <w:sz w:val="32"/>
          <w:szCs w:val="32"/>
          <w:lang w:val="en-US" w:eastAsia="zh-CN"/>
        </w:rPr>
        <w:t>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2025</w:t>
      </w:r>
      <w:r>
        <w:rPr>
          <w:rFonts w:hint="default" w:ascii="仿宋_GB2312" w:hAnsi="仿宋_GB2312" w:eastAsia="仿宋_GB2312" w:cs="仿宋_GB2312"/>
          <w:sz w:val="32"/>
          <w:szCs w:val="32"/>
          <w:highlight w:val="none"/>
          <w:lang w:val="en-US" w:eastAsia="zh-CN"/>
        </w:rPr>
        <w:t>年</w:t>
      </w:r>
      <w:r>
        <w:rPr>
          <w:rFonts w:hint="eastAsia" w:ascii="仿宋_GB2312" w:hAnsi="仿宋_GB2312" w:eastAsia="仿宋_GB2312" w:cs="仿宋_GB2312"/>
          <w:sz w:val="32"/>
          <w:szCs w:val="32"/>
          <w:highlight w:val="none"/>
          <w:lang w:val="en-US" w:eastAsia="zh-CN"/>
        </w:rPr>
        <w:t>北京市丰台区建筑行业管理处</w:t>
      </w:r>
      <w:r>
        <w:rPr>
          <w:rFonts w:hint="default" w:ascii="仿宋_GB2312" w:hAnsi="仿宋_GB2312" w:eastAsia="仿宋_GB2312" w:cs="仿宋_GB2312"/>
          <w:sz w:val="32"/>
          <w:szCs w:val="32"/>
          <w:highlight w:val="none"/>
          <w:lang w:val="en-US" w:eastAsia="zh-CN"/>
        </w:rPr>
        <w:t>部门政府采购预算总额</w:t>
      </w:r>
      <w:r>
        <w:rPr>
          <w:rFonts w:hint="eastAsia" w:ascii="仿宋_GB2312" w:hAnsi="仿宋_GB2312" w:eastAsia="仿宋_GB2312" w:cs="仿宋_GB2312"/>
          <w:sz w:val="32"/>
          <w:szCs w:val="32"/>
          <w:highlight w:val="none"/>
          <w:lang w:val="en-US" w:eastAsia="zh-CN"/>
        </w:rPr>
        <w:t>307.25</w:t>
      </w:r>
      <w:r>
        <w:rPr>
          <w:rFonts w:hint="default" w:ascii="仿宋_GB2312" w:hAnsi="仿宋_GB2312" w:eastAsia="仿宋_GB2312" w:cs="仿宋_GB2312"/>
          <w:sz w:val="32"/>
          <w:szCs w:val="32"/>
          <w:highlight w:val="none"/>
          <w:lang w:val="en-US" w:eastAsia="zh-CN"/>
        </w:rPr>
        <w:t>万元</w:t>
      </w:r>
      <w:r>
        <w:rPr>
          <w:rFonts w:hint="eastAsia" w:ascii="仿宋_GB2312" w:hAnsi="仿宋_GB2312" w:eastAsia="仿宋_GB2312" w:cs="仿宋_GB2312"/>
          <w:sz w:val="32"/>
          <w:szCs w:val="32"/>
          <w:highlight w:val="none"/>
          <w:lang w:val="en-US" w:eastAsia="zh-CN"/>
        </w:rPr>
        <w:t>，其中政府采购货物预算0.14万元，政府采购工程预算0万元，政府采购服务预算307.11万元。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（二）政府购买服务预算说明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北京市丰台区建筑行业管理处</w:t>
      </w:r>
      <w:r>
        <w:rPr>
          <w:rFonts w:hint="default" w:ascii="仿宋_GB2312" w:hAnsi="仿宋_GB2312" w:eastAsia="仿宋_GB2312" w:cs="仿宋_GB2312"/>
          <w:sz w:val="32"/>
          <w:szCs w:val="32"/>
          <w:lang w:val="en-US" w:eastAsia="zh-CN"/>
        </w:rPr>
        <w:t>部门政府购买服务预算总额</w:t>
      </w:r>
      <w:r>
        <w:rPr>
          <w:rFonts w:hint="eastAsia" w:ascii="仿宋_GB2312" w:hAnsi="仿宋_GB2312" w:eastAsia="仿宋_GB2312" w:cs="仿宋_GB2312"/>
          <w:sz w:val="32"/>
          <w:szCs w:val="32"/>
          <w:lang w:val="en-US" w:eastAsia="zh-CN"/>
        </w:rPr>
        <w:t>0</w:t>
      </w:r>
      <w:r>
        <w:rPr>
          <w:rFonts w:hint="default" w:ascii="仿宋_GB2312" w:hAnsi="仿宋_GB2312" w:eastAsia="仿宋_GB2312" w:cs="仿宋_GB2312"/>
          <w:sz w:val="32"/>
          <w:szCs w:val="32"/>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（三）机关运行经费情况说明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highlight w:val="none"/>
          <w:lang w:val="en-US" w:eastAsia="zh-CN"/>
        </w:rPr>
      </w:pPr>
      <w:r>
        <w:rPr>
          <w:rFonts w:hint="default" w:ascii="宋体" w:hAnsi="宋体" w:cs="宋体"/>
          <w:sz w:val="32"/>
          <w:szCs w:val="32"/>
          <w:lang w:val="en-US" w:eastAsia="zh-CN"/>
        </w:rPr>
        <w:t xml:space="preserve">    </w:t>
      </w:r>
      <w:r>
        <w:rPr>
          <w:rFonts w:hint="eastAsia" w:ascii="仿宋_GB2312" w:hAnsi="仿宋_GB2312" w:eastAsia="仿宋_GB2312" w:cs="仿宋_GB2312"/>
          <w:sz w:val="32"/>
          <w:szCs w:val="32"/>
          <w:lang w:val="en-US" w:eastAsia="zh-CN"/>
        </w:rPr>
        <w:t>2025</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北京市丰台区建筑行业管理处0</w:t>
      </w:r>
      <w:r>
        <w:rPr>
          <w:rFonts w:hint="default" w:ascii="仿宋_GB2312" w:hAnsi="仿宋_GB2312" w:eastAsia="仿宋_GB2312" w:cs="仿宋_GB2312"/>
          <w:sz w:val="32"/>
          <w:szCs w:val="32"/>
          <w:lang w:val="en-US" w:eastAsia="zh-CN"/>
        </w:rPr>
        <w:t>家行政单位以及</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家参公管理事业单位的机关运行经费财政拨款预</w:t>
      </w:r>
      <w:r>
        <w:rPr>
          <w:rFonts w:hint="default" w:ascii="仿宋_GB2312" w:hAnsi="仿宋_GB2312" w:eastAsia="仿宋_GB2312" w:cs="仿宋_GB2312"/>
          <w:sz w:val="32"/>
          <w:szCs w:val="32"/>
          <w:highlight w:val="none"/>
          <w:lang w:val="en-US" w:eastAsia="zh-CN"/>
        </w:rPr>
        <w:t>算</w:t>
      </w:r>
      <w:r>
        <w:rPr>
          <w:rFonts w:hint="eastAsia" w:ascii="仿宋_GB2312" w:hAnsi="仿宋_GB2312" w:eastAsia="仿宋_GB2312" w:cs="仿宋_GB2312"/>
          <w:sz w:val="32"/>
          <w:szCs w:val="32"/>
          <w:highlight w:val="none"/>
          <w:lang w:val="en-US" w:eastAsia="zh-CN"/>
        </w:rPr>
        <w:t>190.15</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机关运行经费：是指行政单位（含参照公务员法管理事业单位）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宋体" w:hAnsi="宋体" w:cs="宋体"/>
          <w:sz w:val="32"/>
          <w:szCs w:val="32"/>
          <w:lang w:val="en-US" w:eastAsia="zh-CN"/>
        </w:rPr>
      </w:pPr>
      <w:r>
        <w:rPr>
          <w:rFonts w:hint="default" w:ascii="楷体_GB2312" w:hAnsi="楷体_GB2312" w:eastAsia="楷体_GB2312" w:cs="楷体_GB2312"/>
          <w:sz w:val="32"/>
          <w:szCs w:val="32"/>
          <w:lang w:val="en-US" w:eastAsia="zh-CN"/>
        </w:rPr>
        <w:t xml:space="preserve">（四）项目支出绩效目标情况说明 </w:t>
      </w:r>
      <w:r>
        <w:rPr>
          <w:rFonts w:hint="default" w:ascii="宋体" w:hAnsi="宋体" w:cs="宋体"/>
          <w:sz w:val="32"/>
          <w:szCs w:val="32"/>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北京市丰台区建筑行业管理处</w:t>
      </w:r>
      <w:r>
        <w:rPr>
          <w:rFonts w:hint="default" w:ascii="仿宋_GB2312" w:hAnsi="仿宋_GB2312" w:eastAsia="仿宋_GB2312" w:cs="仿宋_GB2312"/>
          <w:sz w:val="32"/>
          <w:szCs w:val="32"/>
          <w:lang w:val="en-US" w:eastAsia="zh-CN"/>
        </w:rPr>
        <w:t>填报绩效目标的预算项目</w:t>
      </w: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个，占</w:t>
      </w:r>
      <w:r>
        <w:rPr>
          <w:rFonts w:hint="eastAsia" w:ascii="仿宋_GB2312" w:hAnsi="仿宋_GB2312" w:eastAsia="仿宋_GB2312" w:cs="仿宋_GB2312"/>
          <w:sz w:val="32"/>
          <w:szCs w:val="32"/>
          <w:lang w:val="en-US" w:eastAsia="zh-CN"/>
        </w:rPr>
        <w:t>2025</w:t>
      </w:r>
      <w:r>
        <w:rPr>
          <w:rFonts w:hint="default" w:ascii="仿宋_GB2312" w:hAnsi="仿宋_GB2312" w:eastAsia="仿宋_GB2312" w:cs="仿宋_GB2312"/>
          <w:sz w:val="32"/>
          <w:szCs w:val="32"/>
          <w:lang w:val="en-US" w:eastAsia="zh-CN"/>
        </w:rPr>
        <w:t>年全部预算项目</w:t>
      </w: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个的</w:t>
      </w:r>
      <w:r>
        <w:rPr>
          <w:rFonts w:hint="eastAsia" w:ascii="仿宋_GB2312" w:hAnsi="仿宋_GB2312" w:eastAsia="仿宋_GB2312" w:cs="仿宋_GB2312"/>
          <w:sz w:val="32"/>
          <w:szCs w:val="32"/>
          <w:lang w:val="en-US" w:eastAsia="zh-CN"/>
        </w:rPr>
        <w:t>100</w:t>
      </w:r>
      <w:r>
        <w:rPr>
          <w:rFonts w:hint="default" w:ascii="仿宋_GB2312" w:hAnsi="仿宋_GB2312" w:eastAsia="仿宋_GB2312" w:cs="仿宋_GB2312"/>
          <w:sz w:val="32"/>
          <w:szCs w:val="32"/>
          <w:lang w:val="en-US" w:eastAsia="zh-CN"/>
        </w:rPr>
        <w:t>%。填报绩效目标的项目支出预算</w:t>
      </w:r>
      <w:r>
        <w:rPr>
          <w:rFonts w:hint="eastAsia" w:ascii="仿宋_GB2312" w:hAnsi="仿宋_GB2312" w:eastAsia="仿宋_GB2312" w:cs="仿宋_GB2312"/>
          <w:sz w:val="32"/>
          <w:szCs w:val="32"/>
          <w:lang w:val="en-US" w:eastAsia="zh-CN"/>
        </w:rPr>
        <w:t>671.98</w:t>
      </w:r>
      <w:r>
        <w:rPr>
          <w:rFonts w:hint="default" w:ascii="仿宋_GB2312" w:hAnsi="仿宋_GB2312" w:eastAsia="仿宋_GB2312" w:cs="仿宋_GB2312"/>
          <w:sz w:val="32"/>
          <w:szCs w:val="32"/>
          <w:lang w:val="en-US" w:eastAsia="zh-CN"/>
        </w:rPr>
        <w:t>万元，占本部门</w:t>
      </w:r>
      <w:r>
        <w:rPr>
          <w:rFonts w:hint="eastAsia" w:ascii="仿宋_GB2312" w:hAnsi="仿宋_GB2312" w:eastAsia="仿宋_GB2312" w:cs="仿宋_GB2312"/>
          <w:sz w:val="32"/>
          <w:szCs w:val="32"/>
          <w:lang w:val="en-US" w:eastAsia="zh-CN"/>
        </w:rPr>
        <w:t>2025</w:t>
      </w:r>
      <w:r>
        <w:rPr>
          <w:rFonts w:hint="default" w:ascii="仿宋_GB2312" w:hAnsi="仿宋_GB2312" w:eastAsia="仿宋_GB2312" w:cs="仿宋_GB2312"/>
          <w:sz w:val="32"/>
          <w:szCs w:val="32"/>
          <w:lang w:val="en-US" w:eastAsia="zh-CN"/>
        </w:rPr>
        <w:t>年全部项目支出预算的</w:t>
      </w:r>
      <w:r>
        <w:rPr>
          <w:rFonts w:hint="eastAsia" w:ascii="仿宋_GB2312" w:hAnsi="仿宋_GB2312" w:eastAsia="仿宋_GB2312" w:cs="仿宋_GB2312"/>
          <w:sz w:val="32"/>
          <w:szCs w:val="32"/>
          <w:lang w:val="en-US" w:eastAsia="zh-CN"/>
        </w:rPr>
        <w:t>100</w:t>
      </w:r>
      <w:r>
        <w:rPr>
          <w:rFonts w:hint="default"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highlight w:val="none"/>
          <w:lang w:val="en-US" w:eastAsia="zh-CN"/>
        </w:rPr>
        <w:t>（注：不含基本支出）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（五）重点行政事业性收费情况说明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本部门</w:t>
      </w:r>
      <w:r>
        <w:rPr>
          <w:rFonts w:hint="eastAsia" w:ascii="仿宋_GB2312" w:hAnsi="仿宋_GB2312" w:eastAsia="仿宋_GB2312" w:cs="仿宋_GB2312"/>
          <w:sz w:val="32"/>
          <w:szCs w:val="32"/>
          <w:lang w:val="en-US" w:eastAsia="zh-CN"/>
        </w:rPr>
        <w:t>2025</w:t>
      </w:r>
      <w:r>
        <w:rPr>
          <w:rFonts w:hint="default" w:ascii="仿宋_GB2312" w:hAnsi="仿宋_GB2312" w:eastAsia="仿宋_GB2312" w:cs="仿宋_GB2312"/>
          <w:sz w:val="32"/>
          <w:szCs w:val="32"/>
          <w:lang w:val="en-US" w:eastAsia="zh-CN"/>
        </w:rPr>
        <w:t>年无重点行政事业性收费。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lang w:val="en-US" w:eastAsia="zh-CN"/>
        </w:rPr>
      </w:pPr>
      <w:r>
        <w:rPr>
          <w:rFonts w:hint="default" w:ascii="楷体_GB2312" w:hAnsi="楷体_GB2312" w:eastAsia="楷体_GB2312" w:cs="楷体_GB2312"/>
          <w:sz w:val="32"/>
          <w:szCs w:val="32"/>
          <w:lang w:val="en-US" w:eastAsia="zh-CN"/>
        </w:rPr>
        <w:t>（六）国有资本经营预算财政拨款情况说明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本部门</w:t>
      </w:r>
      <w:r>
        <w:rPr>
          <w:rFonts w:hint="eastAsia" w:ascii="仿宋_GB2312" w:hAnsi="仿宋_GB2312" w:eastAsia="仿宋_GB2312" w:cs="仿宋_GB2312"/>
          <w:sz w:val="32"/>
          <w:szCs w:val="32"/>
          <w:lang w:val="en-US" w:eastAsia="zh-CN"/>
        </w:rPr>
        <w:t>2025</w:t>
      </w:r>
      <w:r>
        <w:rPr>
          <w:rFonts w:hint="default" w:ascii="仿宋_GB2312" w:hAnsi="仿宋_GB2312" w:eastAsia="仿宋_GB2312" w:cs="仿宋_GB2312"/>
          <w:sz w:val="32"/>
          <w:szCs w:val="32"/>
          <w:lang w:val="en-US" w:eastAsia="zh-CN"/>
        </w:rPr>
        <w:t>年无国有资本经营预算财政拨款安排的预算</w:t>
      </w:r>
      <w:r>
        <w:rPr>
          <w:rFonts w:hint="eastAsia" w:ascii="仿宋_GB2312" w:hAnsi="仿宋_GB2312" w:eastAsia="仿宋_GB2312" w:cs="仿宋_GB2312"/>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（七）</w:t>
      </w:r>
      <w:r>
        <w:rPr>
          <w:rFonts w:hint="eastAsia" w:ascii="楷体_GB2312" w:hAnsi="楷体_GB2312" w:eastAsia="楷体_GB2312" w:cs="楷体_GB2312"/>
          <w:sz w:val="32"/>
          <w:szCs w:val="32"/>
          <w:highlight w:val="none"/>
          <w:lang w:val="en-US" w:eastAsia="zh-CN"/>
        </w:rPr>
        <w:t>国有</w:t>
      </w:r>
      <w:r>
        <w:rPr>
          <w:rFonts w:hint="default" w:ascii="楷体_GB2312" w:hAnsi="楷体_GB2312" w:eastAsia="楷体_GB2312" w:cs="楷体_GB2312"/>
          <w:sz w:val="32"/>
          <w:szCs w:val="32"/>
          <w:highlight w:val="none"/>
          <w:lang w:val="en-US" w:eastAsia="zh-CN"/>
        </w:rPr>
        <w:t>资产占有使用情况说明</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截止</w:t>
      </w:r>
      <w:r>
        <w:rPr>
          <w:rFonts w:hint="eastAsia" w:ascii="仿宋_GB2312" w:hAnsi="仿宋_GB2312" w:eastAsia="仿宋_GB2312" w:cs="仿宋_GB2312"/>
          <w:sz w:val="32"/>
          <w:szCs w:val="32"/>
          <w:highlight w:val="none"/>
          <w:lang w:val="en-US" w:eastAsia="zh-CN"/>
        </w:rPr>
        <w:t>2024</w:t>
      </w:r>
      <w:r>
        <w:rPr>
          <w:rFonts w:hint="default" w:ascii="仿宋_GB2312" w:hAnsi="仿宋_GB2312" w:eastAsia="仿宋_GB2312" w:cs="仿宋_GB2312"/>
          <w:sz w:val="32"/>
          <w:szCs w:val="32"/>
          <w:highlight w:val="none"/>
          <w:lang w:val="en-US" w:eastAsia="zh-CN"/>
        </w:rPr>
        <w:t>年底，本部门（包括各下属单位）</w:t>
      </w:r>
      <w:r>
        <w:rPr>
          <w:rFonts w:hint="eastAsia" w:ascii="仿宋_GB2312" w:hAnsi="仿宋_GB2312" w:eastAsia="仿宋_GB2312" w:cs="仿宋_GB2312"/>
          <w:sz w:val="32"/>
          <w:szCs w:val="32"/>
          <w:highlight w:val="none"/>
          <w:lang w:val="en-US" w:eastAsia="zh-CN"/>
        </w:rPr>
        <w:t>共有</w:t>
      </w:r>
      <w:r>
        <w:rPr>
          <w:rFonts w:hint="default" w:ascii="仿宋_GB2312" w:hAnsi="仿宋_GB2312" w:eastAsia="仿宋_GB2312" w:cs="仿宋_GB2312"/>
          <w:sz w:val="32"/>
          <w:szCs w:val="32"/>
          <w:highlight w:val="none"/>
          <w:lang w:val="en-US" w:eastAsia="zh-CN"/>
        </w:rPr>
        <w:t>车辆</w:t>
      </w:r>
      <w:r>
        <w:rPr>
          <w:rFonts w:hint="eastAsia" w:ascii="仿宋_GB2312" w:hAnsi="仿宋_GB2312" w:eastAsia="仿宋_GB2312" w:cs="仿宋_GB2312"/>
          <w:sz w:val="32"/>
          <w:szCs w:val="32"/>
          <w:highlight w:val="none"/>
          <w:lang w:val="en-US" w:eastAsia="zh-CN"/>
        </w:rPr>
        <w:t>0</w:t>
      </w:r>
      <w:r>
        <w:rPr>
          <w:rFonts w:hint="default" w:ascii="仿宋_GB2312" w:hAnsi="仿宋_GB2312" w:eastAsia="仿宋_GB2312" w:cs="仿宋_GB2312"/>
          <w:sz w:val="32"/>
          <w:szCs w:val="32"/>
          <w:highlight w:val="none"/>
          <w:lang w:val="en-US" w:eastAsia="zh-CN"/>
        </w:rPr>
        <w:t>台，</w:t>
      </w:r>
      <w:r>
        <w:rPr>
          <w:rFonts w:hint="eastAsia" w:ascii="仿宋_GB2312" w:hAnsi="仿宋_GB2312" w:eastAsia="仿宋_GB2312" w:cs="仿宋_GB2312"/>
          <w:sz w:val="32"/>
          <w:szCs w:val="32"/>
          <w:highlight w:val="none"/>
          <w:lang w:val="en-US" w:eastAsia="zh-CN"/>
        </w:rPr>
        <w:t>共计0</w:t>
      </w:r>
      <w:r>
        <w:rPr>
          <w:rFonts w:hint="default" w:ascii="仿宋_GB2312" w:hAnsi="仿宋_GB2312" w:eastAsia="仿宋_GB2312" w:cs="仿宋_GB2312"/>
          <w:sz w:val="32"/>
          <w:szCs w:val="32"/>
          <w:highlight w:val="none"/>
          <w:lang w:val="en-US" w:eastAsia="zh-CN"/>
        </w:rPr>
        <w:t>万元；单位价值100万元</w:t>
      </w:r>
      <w:r>
        <w:rPr>
          <w:rFonts w:hint="eastAsia" w:ascii="仿宋_GB2312" w:hAnsi="仿宋_GB2312" w:eastAsia="仿宋_GB2312" w:cs="仿宋_GB2312"/>
          <w:sz w:val="32"/>
          <w:szCs w:val="32"/>
          <w:highlight w:val="none"/>
          <w:lang w:val="en-US" w:eastAsia="zh-CN"/>
        </w:rPr>
        <w:t>（含）</w:t>
      </w:r>
      <w:r>
        <w:rPr>
          <w:rFonts w:hint="default" w:ascii="仿宋_GB2312" w:hAnsi="仿宋_GB2312" w:eastAsia="仿宋_GB2312" w:cs="仿宋_GB2312"/>
          <w:sz w:val="32"/>
          <w:szCs w:val="32"/>
          <w:highlight w:val="none"/>
          <w:lang w:val="en-US" w:eastAsia="zh-CN"/>
        </w:rPr>
        <w:t>以上的设备</w:t>
      </w:r>
      <w:r>
        <w:rPr>
          <w:rFonts w:hint="eastAsia" w:ascii="仿宋_GB2312" w:hAnsi="仿宋_GB2312" w:eastAsia="仿宋_GB2312" w:cs="仿宋_GB2312"/>
          <w:sz w:val="32"/>
          <w:szCs w:val="32"/>
          <w:highlight w:val="none"/>
          <w:lang w:val="en-US" w:eastAsia="zh-CN"/>
        </w:rPr>
        <w:t>（不含车辆）0</w:t>
      </w:r>
      <w:r>
        <w:rPr>
          <w:rFonts w:hint="default" w:ascii="仿宋_GB2312" w:hAnsi="仿宋_GB2312" w:eastAsia="仿宋_GB2312" w:cs="仿宋_GB2312"/>
          <w:sz w:val="32"/>
          <w:szCs w:val="32"/>
          <w:highlight w:val="none"/>
          <w:lang w:val="en-US" w:eastAsia="zh-CN"/>
        </w:rPr>
        <w:t>台（套）</w:t>
      </w:r>
      <w:r>
        <w:rPr>
          <w:rFonts w:hint="eastAsia" w:ascii="仿宋_GB2312" w:hAnsi="仿宋_GB2312" w:eastAsia="仿宋_GB2312" w:cs="仿宋_GB2312"/>
          <w:sz w:val="32"/>
          <w:szCs w:val="32"/>
          <w:highlight w:val="none"/>
          <w:lang w:val="en-US" w:eastAsia="zh-CN"/>
        </w:rPr>
        <w:t>，共计0</w:t>
      </w:r>
      <w:r>
        <w:rPr>
          <w:rFonts w:hint="default" w:ascii="仿宋_GB2312" w:hAnsi="仿宋_GB2312" w:eastAsia="仿宋_GB2312" w:cs="仿宋_GB2312"/>
          <w:sz w:val="32"/>
          <w:szCs w:val="32"/>
          <w:highlight w:val="none"/>
          <w:lang w:val="en-US" w:eastAsia="zh-CN"/>
        </w:rPr>
        <w:t>万元。</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default" w:ascii="楷体_GB2312" w:hAnsi="楷体_GB2312" w:eastAsia="楷体_GB2312" w:cs="楷体_GB2312"/>
          <w:sz w:val="32"/>
          <w:szCs w:val="32"/>
          <w:highlight w:val="none"/>
          <w:lang w:val="en-US" w:eastAsia="zh-CN"/>
        </w:rPr>
        <w:t>其他事项说明</w:t>
      </w:r>
    </w:p>
    <w:p>
      <w:pPr>
        <w:widowControl/>
        <w:adjustRightInd w:val="0"/>
        <w:spacing w:line="560" w:lineRule="exact"/>
        <w:ind w:firstLine="700" w:firstLineChars="200"/>
        <w:jc w:val="left"/>
        <w:rPr>
          <w:rFonts w:hint="default" w:ascii="仿宋_GB2312" w:hAnsi="宋体" w:eastAsia="仿宋_GB2312" w:cs="宋体"/>
          <w:color w:val="000000"/>
          <w:spacing w:val="15"/>
          <w:kern w:val="0"/>
          <w:sz w:val="32"/>
          <w:szCs w:val="32"/>
          <w:highlight w:val="none"/>
          <w:lang w:val="en-US" w:eastAsia="zh-CN"/>
        </w:rPr>
      </w:pPr>
      <w:r>
        <w:rPr>
          <w:rFonts w:hint="eastAsia" w:ascii="仿宋_GB2312" w:hAnsi="宋体" w:eastAsia="仿宋_GB2312" w:cs="宋体"/>
          <w:color w:val="000000"/>
          <w:spacing w:val="15"/>
          <w:kern w:val="0"/>
          <w:sz w:val="32"/>
          <w:szCs w:val="32"/>
          <w:highlight w:val="none"/>
          <w:lang w:val="en-US" w:eastAsia="zh-CN"/>
        </w:rPr>
        <w:t>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default" w:ascii="黑体" w:hAnsi="黑体" w:eastAsia="黑体" w:cs="黑体"/>
          <w:sz w:val="32"/>
          <w:szCs w:val="32"/>
          <w:lang w:val="en-US" w:eastAsia="zh-CN"/>
        </w:rPr>
        <w:t>、</w:t>
      </w:r>
      <w:r>
        <w:rPr>
          <w:rFonts w:hint="eastAsia" w:ascii="黑体" w:hAnsi="黑体" w:eastAsia="黑体" w:cs="黑体"/>
          <w:sz w:val="32"/>
          <w:szCs w:val="32"/>
          <w:lang w:val="en-US" w:eastAsia="zh-CN"/>
        </w:rPr>
        <w:t>名词解释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预算：</w:t>
      </w:r>
      <w:r>
        <w:rPr>
          <w:rFonts w:hint="eastAsia" w:ascii="仿宋_GB2312" w:hAnsi="仿宋_GB2312" w:eastAsia="仿宋_GB2312" w:cs="仿宋_GB2312"/>
          <w:sz w:val="32"/>
          <w:szCs w:val="32"/>
          <w:lang w:val="en-US" w:eastAsia="zh-CN"/>
        </w:rPr>
        <w:t>指遵循统筹兼顾、勤俭节约、量力而行、讲求绩效和收支平衡的原则编制，经法定程序审核批准的国家年度集中性财政收支计划。政府的全部收入和支出都应当纳入预算，地方各级预算一般不列赤字。</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一般公共预算：</w:t>
      </w:r>
      <w:r>
        <w:rPr>
          <w:rFonts w:hint="eastAsia" w:ascii="仿宋_GB2312" w:hAnsi="仿宋_GB2312" w:eastAsia="仿宋_GB2312" w:cs="仿宋_GB2312"/>
          <w:sz w:val="32"/>
          <w:szCs w:val="32"/>
          <w:lang w:val="en-US" w:eastAsia="zh-CN"/>
        </w:rPr>
        <w:t>对以税收为主体的财政收入，安排用于保障和改善民生、推动经济社会发展、维护国家安全、维持国家机构正常运转等方面的收支预算。</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部门预算：</w:t>
      </w:r>
      <w:r>
        <w:rPr>
          <w:rFonts w:hint="eastAsia" w:ascii="仿宋_GB2312" w:hAnsi="仿宋_GB2312" w:eastAsia="仿宋_GB2312" w:cs="仿宋_GB2312"/>
          <w:sz w:val="32"/>
          <w:szCs w:val="32"/>
          <w:lang w:val="en-US" w:eastAsia="zh-CN"/>
        </w:rPr>
        <w:t>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“三公”经费：</w:t>
      </w:r>
      <w:r>
        <w:rPr>
          <w:rFonts w:hint="eastAsia" w:ascii="仿宋_GB2312" w:hAnsi="仿宋_GB2312" w:eastAsia="仿宋_GB2312" w:cs="仿宋_GB2312"/>
          <w:sz w:val="32"/>
          <w:szCs w:val="32"/>
          <w:lang w:val="en-US" w:eastAsia="zh-CN"/>
        </w:rPr>
        <w:t>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政府采购：</w:t>
      </w:r>
      <w:bookmarkStart w:id="0" w:name="_GoBack"/>
      <w:bookmarkEnd w:id="0"/>
      <w:r>
        <w:rPr>
          <w:rFonts w:hint="eastAsia" w:ascii="仿宋_GB2312" w:hAnsi="仿宋_GB2312" w:eastAsia="仿宋_GB2312" w:cs="仿宋_GB2312"/>
          <w:sz w:val="32"/>
          <w:szCs w:val="32"/>
          <w:lang w:val="en-US" w:eastAsia="zh-CN"/>
        </w:rPr>
        <w:t>指各级国家机关、事业单位和团体组织，使用财政性资金采购依法制定的集中采购目录以内的或者采购限额标准以上的货物、工程和服务的行为。政府采购是规范财政支出管理和强化预算约束的有效措施。</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政府购买服务：</w:t>
      </w:r>
      <w:r>
        <w:rPr>
          <w:rFonts w:hint="eastAsia" w:ascii="仿宋_GB2312" w:hAnsi="仿宋_GB2312" w:eastAsia="仿宋_GB2312" w:cs="仿宋_GB2312"/>
          <w:sz w:val="32"/>
          <w:szCs w:val="32"/>
          <w:lang w:val="en-US" w:eastAsia="zh-CN"/>
        </w:rPr>
        <w:t>指通过发挥市场机制作用，把政府直接向社会公众提供的公共服务等事项，按照一定的方式和程序，交由具备条件的社会力量承担，并由政府根据服务数量和质量向其支付费用。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预算绩效管理：</w:t>
      </w:r>
      <w:r>
        <w:rPr>
          <w:rFonts w:hint="eastAsia" w:ascii="仿宋_GB2312" w:hAnsi="仿宋_GB2312" w:eastAsia="仿宋_GB2312" w:cs="仿宋_GB2312"/>
          <w:sz w:val="32"/>
          <w:szCs w:val="32"/>
          <w:lang w:val="en-US" w:eastAsia="zh-CN"/>
        </w:rPr>
        <w:t>指在预算管理中融入绩效理念，将绩效目标设定、绩效跟踪、绩效评价及结果应用纳入预算编制、执行、监督全过程，以提高预算的经济、社会效益为目的的管理活动。预算绩效管理是一种以资金使用绩效为导向的预算管理模式，要求政府部门不断改进服务水平和质量，有效提高财政资金使用效益，并成为实施行政问责制和加强政府效能建设的重要抓手，是政府绩效管理的重要组成部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60E44"/>
    <w:multiLevelType w:val="singleLevel"/>
    <w:tmpl w:val="B7460E44"/>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2E21D6"/>
    <w:rsid w:val="002C3FB8"/>
    <w:rsid w:val="003B0A44"/>
    <w:rsid w:val="0040372D"/>
    <w:rsid w:val="00460623"/>
    <w:rsid w:val="00626986"/>
    <w:rsid w:val="007B0729"/>
    <w:rsid w:val="008750F4"/>
    <w:rsid w:val="008E19B9"/>
    <w:rsid w:val="00906E58"/>
    <w:rsid w:val="009B3535"/>
    <w:rsid w:val="009B3D08"/>
    <w:rsid w:val="00C96E08"/>
    <w:rsid w:val="00D3493B"/>
    <w:rsid w:val="00DE29F3"/>
    <w:rsid w:val="00E85CA7"/>
    <w:rsid w:val="00E95D4E"/>
    <w:rsid w:val="00F4513D"/>
    <w:rsid w:val="00F529EB"/>
    <w:rsid w:val="010608FA"/>
    <w:rsid w:val="01077BEE"/>
    <w:rsid w:val="01082A45"/>
    <w:rsid w:val="010E487A"/>
    <w:rsid w:val="01103E7A"/>
    <w:rsid w:val="011B7994"/>
    <w:rsid w:val="011F004F"/>
    <w:rsid w:val="01232AC3"/>
    <w:rsid w:val="01241D12"/>
    <w:rsid w:val="0128669C"/>
    <w:rsid w:val="0147106C"/>
    <w:rsid w:val="01483260"/>
    <w:rsid w:val="015475EE"/>
    <w:rsid w:val="015E065F"/>
    <w:rsid w:val="015E1453"/>
    <w:rsid w:val="01652C18"/>
    <w:rsid w:val="01745E10"/>
    <w:rsid w:val="017C1C9C"/>
    <w:rsid w:val="0182420D"/>
    <w:rsid w:val="018F4BA2"/>
    <w:rsid w:val="01974E78"/>
    <w:rsid w:val="01A102DA"/>
    <w:rsid w:val="01C6677D"/>
    <w:rsid w:val="01C807B6"/>
    <w:rsid w:val="01D962F1"/>
    <w:rsid w:val="01F63533"/>
    <w:rsid w:val="01F94421"/>
    <w:rsid w:val="020117D9"/>
    <w:rsid w:val="02012B48"/>
    <w:rsid w:val="02092576"/>
    <w:rsid w:val="02166508"/>
    <w:rsid w:val="02181B29"/>
    <w:rsid w:val="02227796"/>
    <w:rsid w:val="022B28ED"/>
    <w:rsid w:val="024045E3"/>
    <w:rsid w:val="02406703"/>
    <w:rsid w:val="02510B3E"/>
    <w:rsid w:val="025B0C02"/>
    <w:rsid w:val="026A7472"/>
    <w:rsid w:val="027356DE"/>
    <w:rsid w:val="028A7237"/>
    <w:rsid w:val="029B4904"/>
    <w:rsid w:val="02A323A9"/>
    <w:rsid w:val="02C53F97"/>
    <w:rsid w:val="02E7619A"/>
    <w:rsid w:val="02E83675"/>
    <w:rsid w:val="031E439D"/>
    <w:rsid w:val="032F4947"/>
    <w:rsid w:val="036228E7"/>
    <w:rsid w:val="03703794"/>
    <w:rsid w:val="037169F7"/>
    <w:rsid w:val="0385068D"/>
    <w:rsid w:val="03936192"/>
    <w:rsid w:val="03A9310C"/>
    <w:rsid w:val="03B5065F"/>
    <w:rsid w:val="03BD7A4D"/>
    <w:rsid w:val="03C65E4D"/>
    <w:rsid w:val="03D31F51"/>
    <w:rsid w:val="03D63991"/>
    <w:rsid w:val="03DC5BE1"/>
    <w:rsid w:val="03E23066"/>
    <w:rsid w:val="03E37B21"/>
    <w:rsid w:val="04153A1F"/>
    <w:rsid w:val="0419637B"/>
    <w:rsid w:val="04224995"/>
    <w:rsid w:val="042C28BE"/>
    <w:rsid w:val="042E3F52"/>
    <w:rsid w:val="048816CC"/>
    <w:rsid w:val="048D552C"/>
    <w:rsid w:val="04925227"/>
    <w:rsid w:val="0492646E"/>
    <w:rsid w:val="04AB3F50"/>
    <w:rsid w:val="04D60FCA"/>
    <w:rsid w:val="04E118E8"/>
    <w:rsid w:val="053F7074"/>
    <w:rsid w:val="05444890"/>
    <w:rsid w:val="054A3BA5"/>
    <w:rsid w:val="054B2513"/>
    <w:rsid w:val="055318C9"/>
    <w:rsid w:val="057135EE"/>
    <w:rsid w:val="057F1EC9"/>
    <w:rsid w:val="058D3E59"/>
    <w:rsid w:val="05921CC3"/>
    <w:rsid w:val="05A30EA8"/>
    <w:rsid w:val="05AA10F7"/>
    <w:rsid w:val="05BA52DF"/>
    <w:rsid w:val="05E36EE1"/>
    <w:rsid w:val="05F72B66"/>
    <w:rsid w:val="06035147"/>
    <w:rsid w:val="06037299"/>
    <w:rsid w:val="060D0277"/>
    <w:rsid w:val="0612253C"/>
    <w:rsid w:val="062035BD"/>
    <w:rsid w:val="062702FD"/>
    <w:rsid w:val="062E02D1"/>
    <w:rsid w:val="064B2E8F"/>
    <w:rsid w:val="065564B1"/>
    <w:rsid w:val="065A1E42"/>
    <w:rsid w:val="06AA63FD"/>
    <w:rsid w:val="06C551F3"/>
    <w:rsid w:val="06E24554"/>
    <w:rsid w:val="06E725D8"/>
    <w:rsid w:val="06FA46C1"/>
    <w:rsid w:val="071C644A"/>
    <w:rsid w:val="07315969"/>
    <w:rsid w:val="073D4FB5"/>
    <w:rsid w:val="074657C1"/>
    <w:rsid w:val="074C4072"/>
    <w:rsid w:val="07580C4E"/>
    <w:rsid w:val="077D6D70"/>
    <w:rsid w:val="079F70A2"/>
    <w:rsid w:val="07B807BC"/>
    <w:rsid w:val="07E12A87"/>
    <w:rsid w:val="07EB4A87"/>
    <w:rsid w:val="08106E15"/>
    <w:rsid w:val="08225265"/>
    <w:rsid w:val="0840198A"/>
    <w:rsid w:val="08562E48"/>
    <w:rsid w:val="085C5A61"/>
    <w:rsid w:val="08630E46"/>
    <w:rsid w:val="08716018"/>
    <w:rsid w:val="08757768"/>
    <w:rsid w:val="08791DBD"/>
    <w:rsid w:val="088916B3"/>
    <w:rsid w:val="088A3D50"/>
    <w:rsid w:val="088E1DB3"/>
    <w:rsid w:val="08930BE1"/>
    <w:rsid w:val="0896415C"/>
    <w:rsid w:val="089F4383"/>
    <w:rsid w:val="08BF1F0B"/>
    <w:rsid w:val="08D93C8D"/>
    <w:rsid w:val="08E372F2"/>
    <w:rsid w:val="08EA3BF2"/>
    <w:rsid w:val="08F8304C"/>
    <w:rsid w:val="091539DD"/>
    <w:rsid w:val="093542D4"/>
    <w:rsid w:val="09435BB8"/>
    <w:rsid w:val="094D5E95"/>
    <w:rsid w:val="09526EA6"/>
    <w:rsid w:val="09533121"/>
    <w:rsid w:val="09550317"/>
    <w:rsid w:val="09691FCC"/>
    <w:rsid w:val="09866728"/>
    <w:rsid w:val="098B23B4"/>
    <w:rsid w:val="09A4503E"/>
    <w:rsid w:val="09AB1539"/>
    <w:rsid w:val="09C4626C"/>
    <w:rsid w:val="09C73EB8"/>
    <w:rsid w:val="09EB30F8"/>
    <w:rsid w:val="09F56E4A"/>
    <w:rsid w:val="0A162F97"/>
    <w:rsid w:val="0A245E0F"/>
    <w:rsid w:val="0A366C66"/>
    <w:rsid w:val="0A3D395F"/>
    <w:rsid w:val="0A457EDE"/>
    <w:rsid w:val="0A620F83"/>
    <w:rsid w:val="0A657ECD"/>
    <w:rsid w:val="0A6B42CF"/>
    <w:rsid w:val="0A933A15"/>
    <w:rsid w:val="0AB0321E"/>
    <w:rsid w:val="0AFC1E76"/>
    <w:rsid w:val="0AFE1C53"/>
    <w:rsid w:val="0B003816"/>
    <w:rsid w:val="0B0464A9"/>
    <w:rsid w:val="0B1E3790"/>
    <w:rsid w:val="0B290382"/>
    <w:rsid w:val="0B421E9D"/>
    <w:rsid w:val="0B5A1FC1"/>
    <w:rsid w:val="0B602BE4"/>
    <w:rsid w:val="0B67548D"/>
    <w:rsid w:val="0B77224A"/>
    <w:rsid w:val="0B86672B"/>
    <w:rsid w:val="0B9E61FA"/>
    <w:rsid w:val="0BC36F6A"/>
    <w:rsid w:val="0BC80933"/>
    <w:rsid w:val="0BD71FD0"/>
    <w:rsid w:val="0BDB2C00"/>
    <w:rsid w:val="0BE500DA"/>
    <w:rsid w:val="0BE6129D"/>
    <w:rsid w:val="0BEF46DA"/>
    <w:rsid w:val="0C075253"/>
    <w:rsid w:val="0C0E7E09"/>
    <w:rsid w:val="0C1B30E6"/>
    <w:rsid w:val="0C254904"/>
    <w:rsid w:val="0C2A43F9"/>
    <w:rsid w:val="0C2B0536"/>
    <w:rsid w:val="0C47763B"/>
    <w:rsid w:val="0C5A00EA"/>
    <w:rsid w:val="0C751B28"/>
    <w:rsid w:val="0C781095"/>
    <w:rsid w:val="0C8F285C"/>
    <w:rsid w:val="0C9D51B3"/>
    <w:rsid w:val="0CC76268"/>
    <w:rsid w:val="0CCC7207"/>
    <w:rsid w:val="0CD24817"/>
    <w:rsid w:val="0CDA62BC"/>
    <w:rsid w:val="0CFC027D"/>
    <w:rsid w:val="0D126B03"/>
    <w:rsid w:val="0D1C1545"/>
    <w:rsid w:val="0D72423A"/>
    <w:rsid w:val="0D8A6A3F"/>
    <w:rsid w:val="0D9220ED"/>
    <w:rsid w:val="0DAB380E"/>
    <w:rsid w:val="0DB44EC0"/>
    <w:rsid w:val="0DC36887"/>
    <w:rsid w:val="0DD41452"/>
    <w:rsid w:val="0DE408B5"/>
    <w:rsid w:val="0DE57DFA"/>
    <w:rsid w:val="0DFC4CBD"/>
    <w:rsid w:val="0DFD14F4"/>
    <w:rsid w:val="0E030A03"/>
    <w:rsid w:val="0E1119F6"/>
    <w:rsid w:val="0E2202E5"/>
    <w:rsid w:val="0E233A07"/>
    <w:rsid w:val="0E2E2565"/>
    <w:rsid w:val="0E375B42"/>
    <w:rsid w:val="0E396CB2"/>
    <w:rsid w:val="0E4973EF"/>
    <w:rsid w:val="0E6C6A71"/>
    <w:rsid w:val="0E703C3D"/>
    <w:rsid w:val="0E89193A"/>
    <w:rsid w:val="0E8C5689"/>
    <w:rsid w:val="0E9B31EC"/>
    <w:rsid w:val="0EA26626"/>
    <w:rsid w:val="0EA37C44"/>
    <w:rsid w:val="0EB15D42"/>
    <w:rsid w:val="0EBE4B0E"/>
    <w:rsid w:val="0EEB6DB4"/>
    <w:rsid w:val="0F00642C"/>
    <w:rsid w:val="0F07089D"/>
    <w:rsid w:val="0F072FED"/>
    <w:rsid w:val="0F186EE4"/>
    <w:rsid w:val="0F2C25E5"/>
    <w:rsid w:val="0F3E0C5B"/>
    <w:rsid w:val="0F424AE3"/>
    <w:rsid w:val="0F456C9B"/>
    <w:rsid w:val="0F4A0926"/>
    <w:rsid w:val="0F8867FA"/>
    <w:rsid w:val="0F90623B"/>
    <w:rsid w:val="0F9121CB"/>
    <w:rsid w:val="0F933B9D"/>
    <w:rsid w:val="0FA10B38"/>
    <w:rsid w:val="0FA73CDC"/>
    <w:rsid w:val="0FB875C7"/>
    <w:rsid w:val="0FC6359D"/>
    <w:rsid w:val="0FC93FA6"/>
    <w:rsid w:val="0FDB3022"/>
    <w:rsid w:val="0FEC6899"/>
    <w:rsid w:val="0FEF4CC5"/>
    <w:rsid w:val="0FF04CB8"/>
    <w:rsid w:val="1001052C"/>
    <w:rsid w:val="1004024B"/>
    <w:rsid w:val="100419F1"/>
    <w:rsid w:val="102E1DCF"/>
    <w:rsid w:val="10375ED2"/>
    <w:rsid w:val="103A57C7"/>
    <w:rsid w:val="10522B09"/>
    <w:rsid w:val="10530B59"/>
    <w:rsid w:val="10545FE4"/>
    <w:rsid w:val="105847BD"/>
    <w:rsid w:val="106923DC"/>
    <w:rsid w:val="106D5408"/>
    <w:rsid w:val="10773B8F"/>
    <w:rsid w:val="10894BB8"/>
    <w:rsid w:val="10965736"/>
    <w:rsid w:val="10B70051"/>
    <w:rsid w:val="10BA20E4"/>
    <w:rsid w:val="10C33B34"/>
    <w:rsid w:val="10C61C8C"/>
    <w:rsid w:val="10CB295A"/>
    <w:rsid w:val="10CD0042"/>
    <w:rsid w:val="10D106F1"/>
    <w:rsid w:val="10D169BF"/>
    <w:rsid w:val="10D536B4"/>
    <w:rsid w:val="10E757CC"/>
    <w:rsid w:val="10EC2FC4"/>
    <w:rsid w:val="10EF3F83"/>
    <w:rsid w:val="10FA3372"/>
    <w:rsid w:val="1106583F"/>
    <w:rsid w:val="110F70C1"/>
    <w:rsid w:val="11103855"/>
    <w:rsid w:val="111B2B7E"/>
    <w:rsid w:val="111E1C49"/>
    <w:rsid w:val="112F3828"/>
    <w:rsid w:val="114052BF"/>
    <w:rsid w:val="114D1779"/>
    <w:rsid w:val="115A0AFC"/>
    <w:rsid w:val="116055A2"/>
    <w:rsid w:val="11656483"/>
    <w:rsid w:val="11817F74"/>
    <w:rsid w:val="1188479A"/>
    <w:rsid w:val="119278D7"/>
    <w:rsid w:val="11977867"/>
    <w:rsid w:val="119A5F72"/>
    <w:rsid w:val="11A34FD0"/>
    <w:rsid w:val="11BF6927"/>
    <w:rsid w:val="11D41EDD"/>
    <w:rsid w:val="11E17F0B"/>
    <w:rsid w:val="11E55C4A"/>
    <w:rsid w:val="11F6104B"/>
    <w:rsid w:val="120F2EFA"/>
    <w:rsid w:val="121555E5"/>
    <w:rsid w:val="12183777"/>
    <w:rsid w:val="122157B2"/>
    <w:rsid w:val="12396232"/>
    <w:rsid w:val="123C32FC"/>
    <w:rsid w:val="12412199"/>
    <w:rsid w:val="12496DB3"/>
    <w:rsid w:val="124D1231"/>
    <w:rsid w:val="125C21F0"/>
    <w:rsid w:val="125D6A28"/>
    <w:rsid w:val="126E559B"/>
    <w:rsid w:val="128F20EC"/>
    <w:rsid w:val="1296463D"/>
    <w:rsid w:val="129C477D"/>
    <w:rsid w:val="12B62B71"/>
    <w:rsid w:val="12C703EC"/>
    <w:rsid w:val="12E63A73"/>
    <w:rsid w:val="12E92985"/>
    <w:rsid w:val="12F00C78"/>
    <w:rsid w:val="12F0186B"/>
    <w:rsid w:val="12F72EE0"/>
    <w:rsid w:val="12FC386B"/>
    <w:rsid w:val="12FE2746"/>
    <w:rsid w:val="13175B80"/>
    <w:rsid w:val="131E6357"/>
    <w:rsid w:val="132879FA"/>
    <w:rsid w:val="13306585"/>
    <w:rsid w:val="133946D2"/>
    <w:rsid w:val="137141D7"/>
    <w:rsid w:val="137F7F9A"/>
    <w:rsid w:val="139B61BF"/>
    <w:rsid w:val="13B24C86"/>
    <w:rsid w:val="13BF1F3D"/>
    <w:rsid w:val="13C4549A"/>
    <w:rsid w:val="13D465B2"/>
    <w:rsid w:val="13DC3F06"/>
    <w:rsid w:val="13E00C65"/>
    <w:rsid w:val="14056A0C"/>
    <w:rsid w:val="14065518"/>
    <w:rsid w:val="1426759D"/>
    <w:rsid w:val="143A4701"/>
    <w:rsid w:val="145D27A7"/>
    <w:rsid w:val="14657870"/>
    <w:rsid w:val="146D16A4"/>
    <w:rsid w:val="14A7571B"/>
    <w:rsid w:val="14C34942"/>
    <w:rsid w:val="14CB51CF"/>
    <w:rsid w:val="14E47E1F"/>
    <w:rsid w:val="15141E92"/>
    <w:rsid w:val="153112DB"/>
    <w:rsid w:val="15350EFB"/>
    <w:rsid w:val="15401D94"/>
    <w:rsid w:val="15410EBA"/>
    <w:rsid w:val="1541298B"/>
    <w:rsid w:val="15467B56"/>
    <w:rsid w:val="155F66BF"/>
    <w:rsid w:val="156A3D36"/>
    <w:rsid w:val="156E6C5A"/>
    <w:rsid w:val="15702DA3"/>
    <w:rsid w:val="15732D9B"/>
    <w:rsid w:val="15814CB7"/>
    <w:rsid w:val="15836746"/>
    <w:rsid w:val="15864F72"/>
    <w:rsid w:val="15903EB2"/>
    <w:rsid w:val="1594044F"/>
    <w:rsid w:val="15B274DC"/>
    <w:rsid w:val="15B625DD"/>
    <w:rsid w:val="15C730D6"/>
    <w:rsid w:val="15CE4762"/>
    <w:rsid w:val="15E31DDC"/>
    <w:rsid w:val="15FC217D"/>
    <w:rsid w:val="15FE7486"/>
    <w:rsid w:val="161A744E"/>
    <w:rsid w:val="16224B50"/>
    <w:rsid w:val="16247759"/>
    <w:rsid w:val="16282F7C"/>
    <w:rsid w:val="162C4305"/>
    <w:rsid w:val="165C36EF"/>
    <w:rsid w:val="166E2FC6"/>
    <w:rsid w:val="16785985"/>
    <w:rsid w:val="167B1BE5"/>
    <w:rsid w:val="16866782"/>
    <w:rsid w:val="16885FF2"/>
    <w:rsid w:val="16B962FE"/>
    <w:rsid w:val="16C23134"/>
    <w:rsid w:val="16E94C4A"/>
    <w:rsid w:val="16F02CBF"/>
    <w:rsid w:val="16FA1365"/>
    <w:rsid w:val="17030FF3"/>
    <w:rsid w:val="17046551"/>
    <w:rsid w:val="17102B69"/>
    <w:rsid w:val="17183F5D"/>
    <w:rsid w:val="1727748B"/>
    <w:rsid w:val="173161F5"/>
    <w:rsid w:val="17375656"/>
    <w:rsid w:val="17375E77"/>
    <w:rsid w:val="174303CA"/>
    <w:rsid w:val="17547F33"/>
    <w:rsid w:val="176438A2"/>
    <w:rsid w:val="178525E4"/>
    <w:rsid w:val="17905438"/>
    <w:rsid w:val="179806CF"/>
    <w:rsid w:val="17A26E7F"/>
    <w:rsid w:val="17B154B2"/>
    <w:rsid w:val="17D33CF5"/>
    <w:rsid w:val="17DD3645"/>
    <w:rsid w:val="17E80CDC"/>
    <w:rsid w:val="17F12890"/>
    <w:rsid w:val="182E0D0E"/>
    <w:rsid w:val="183C5090"/>
    <w:rsid w:val="18490E06"/>
    <w:rsid w:val="184F0DE0"/>
    <w:rsid w:val="18690747"/>
    <w:rsid w:val="186F4501"/>
    <w:rsid w:val="18883A11"/>
    <w:rsid w:val="18A16EE9"/>
    <w:rsid w:val="18BC5070"/>
    <w:rsid w:val="18BF4D89"/>
    <w:rsid w:val="18C61B70"/>
    <w:rsid w:val="18DA0462"/>
    <w:rsid w:val="18DF3723"/>
    <w:rsid w:val="18E15966"/>
    <w:rsid w:val="18F6762E"/>
    <w:rsid w:val="19077EC7"/>
    <w:rsid w:val="190A2AA6"/>
    <w:rsid w:val="19265719"/>
    <w:rsid w:val="19311C8E"/>
    <w:rsid w:val="19344A15"/>
    <w:rsid w:val="193B3B95"/>
    <w:rsid w:val="194E36D4"/>
    <w:rsid w:val="19582D12"/>
    <w:rsid w:val="195B584D"/>
    <w:rsid w:val="19667F72"/>
    <w:rsid w:val="19754BC3"/>
    <w:rsid w:val="19D25DAD"/>
    <w:rsid w:val="19DC14DA"/>
    <w:rsid w:val="19E7366F"/>
    <w:rsid w:val="19F118E9"/>
    <w:rsid w:val="19F52EBF"/>
    <w:rsid w:val="1A092496"/>
    <w:rsid w:val="1A0F4A8F"/>
    <w:rsid w:val="1A1B6D7A"/>
    <w:rsid w:val="1A264A37"/>
    <w:rsid w:val="1A363327"/>
    <w:rsid w:val="1A42705F"/>
    <w:rsid w:val="1A513234"/>
    <w:rsid w:val="1A561B55"/>
    <w:rsid w:val="1A5E15EF"/>
    <w:rsid w:val="1A5F7A0C"/>
    <w:rsid w:val="1A8124ED"/>
    <w:rsid w:val="1A9637A7"/>
    <w:rsid w:val="1AB74DED"/>
    <w:rsid w:val="1AC715AE"/>
    <w:rsid w:val="1AD03BD4"/>
    <w:rsid w:val="1AD45B3B"/>
    <w:rsid w:val="1ADA2B4E"/>
    <w:rsid w:val="1B0A00DD"/>
    <w:rsid w:val="1B0C0B2C"/>
    <w:rsid w:val="1B275E95"/>
    <w:rsid w:val="1B2F6E48"/>
    <w:rsid w:val="1B313538"/>
    <w:rsid w:val="1B4528D7"/>
    <w:rsid w:val="1B5119E3"/>
    <w:rsid w:val="1B515D13"/>
    <w:rsid w:val="1B5316FF"/>
    <w:rsid w:val="1B6E1CED"/>
    <w:rsid w:val="1B9A0C6E"/>
    <w:rsid w:val="1BC42D74"/>
    <w:rsid w:val="1BE93EC3"/>
    <w:rsid w:val="1C0A008F"/>
    <w:rsid w:val="1C0C109C"/>
    <w:rsid w:val="1C1958BC"/>
    <w:rsid w:val="1C22414C"/>
    <w:rsid w:val="1C26249F"/>
    <w:rsid w:val="1C365EC2"/>
    <w:rsid w:val="1C39607B"/>
    <w:rsid w:val="1C4635F9"/>
    <w:rsid w:val="1C486B79"/>
    <w:rsid w:val="1C4F4809"/>
    <w:rsid w:val="1C63170A"/>
    <w:rsid w:val="1C67666A"/>
    <w:rsid w:val="1C690559"/>
    <w:rsid w:val="1C751380"/>
    <w:rsid w:val="1C8477FC"/>
    <w:rsid w:val="1CA70BA3"/>
    <w:rsid w:val="1CB27542"/>
    <w:rsid w:val="1CB80EA6"/>
    <w:rsid w:val="1CC84F23"/>
    <w:rsid w:val="1CC924C3"/>
    <w:rsid w:val="1CC93981"/>
    <w:rsid w:val="1CD035ED"/>
    <w:rsid w:val="1CD72D79"/>
    <w:rsid w:val="1CE102F6"/>
    <w:rsid w:val="1CE35140"/>
    <w:rsid w:val="1CEF5582"/>
    <w:rsid w:val="1CFB055B"/>
    <w:rsid w:val="1D0C3FA1"/>
    <w:rsid w:val="1D523B0C"/>
    <w:rsid w:val="1D7F7493"/>
    <w:rsid w:val="1D827944"/>
    <w:rsid w:val="1D93312C"/>
    <w:rsid w:val="1D9E47FD"/>
    <w:rsid w:val="1DA87ED8"/>
    <w:rsid w:val="1DAD4026"/>
    <w:rsid w:val="1DB002E8"/>
    <w:rsid w:val="1DE0184A"/>
    <w:rsid w:val="1E130959"/>
    <w:rsid w:val="1E1B1C67"/>
    <w:rsid w:val="1E2345BB"/>
    <w:rsid w:val="1E2D3211"/>
    <w:rsid w:val="1E716D04"/>
    <w:rsid w:val="1E782E8E"/>
    <w:rsid w:val="1E8826B4"/>
    <w:rsid w:val="1E89134E"/>
    <w:rsid w:val="1E8E23D4"/>
    <w:rsid w:val="1E9E28B5"/>
    <w:rsid w:val="1EB119D4"/>
    <w:rsid w:val="1EBF639E"/>
    <w:rsid w:val="1F0F419C"/>
    <w:rsid w:val="1F3E5CB6"/>
    <w:rsid w:val="1F4E3979"/>
    <w:rsid w:val="1F543DB2"/>
    <w:rsid w:val="1F6007A0"/>
    <w:rsid w:val="1F99098B"/>
    <w:rsid w:val="1F9D0942"/>
    <w:rsid w:val="1FB10C51"/>
    <w:rsid w:val="1FB72B95"/>
    <w:rsid w:val="1FBA2D0D"/>
    <w:rsid w:val="1FCB7F4F"/>
    <w:rsid w:val="1FCD4568"/>
    <w:rsid w:val="1FE6270C"/>
    <w:rsid w:val="1FF231E3"/>
    <w:rsid w:val="202268E9"/>
    <w:rsid w:val="20232CB7"/>
    <w:rsid w:val="203600D0"/>
    <w:rsid w:val="20474545"/>
    <w:rsid w:val="205C5E48"/>
    <w:rsid w:val="205F4398"/>
    <w:rsid w:val="206967DC"/>
    <w:rsid w:val="206C1E0B"/>
    <w:rsid w:val="206E62DD"/>
    <w:rsid w:val="207627E7"/>
    <w:rsid w:val="20896DF8"/>
    <w:rsid w:val="208F45E6"/>
    <w:rsid w:val="20A632D3"/>
    <w:rsid w:val="20E076B5"/>
    <w:rsid w:val="20E25307"/>
    <w:rsid w:val="20F44749"/>
    <w:rsid w:val="2117696C"/>
    <w:rsid w:val="211E02D4"/>
    <w:rsid w:val="214D61F0"/>
    <w:rsid w:val="217147A0"/>
    <w:rsid w:val="2187776F"/>
    <w:rsid w:val="219F5358"/>
    <w:rsid w:val="21A47E47"/>
    <w:rsid w:val="21B6235E"/>
    <w:rsid w:val="21F32013"/>
    <w:rsid w:val="21F458F3"/>
    <w:rsid w:val="21FF2CEB"/>
    <w:rsid w:val="222329EF"/>
    <w:rsid w:val="222B2046"/>
    <w:rsid w:val="222D6C79"/>
    <w:rsid w:val="22373237"/>
    <w:rsid w:val="225633F3"/>
    <w:rsid w:val="22600AD4"/>
    <w:rsid w:val="22855E00"/>
    <w:rsid w:val="229022E9"/>
    <w:rsid w:val="22AF3115"/>
    <w:rsid w:val="22CB1D2B"/>
    <w:rsid w:val="22F20923"/>
    <w:rsid w:val="22FD3A0D"/>
    <w:rsid w:val="232102B1"/>
    <w:rsid w:val="23625F76"/>
    <w:rsid w:val="23667E37"/>
    <w:rsid w:val="236F730B"/>
    <w:rsid w:val="237569AA"/>
    <w:rsid w:val="23A11212"/>
    <w:rsid w:val="23A904DE"/>
    <w:rsid w:val="23CA4D7C"/>
    <w:rsid w:val="23D3392E"/>
    <w:rsid w:val="23ED19AB"/>
    <w:rsid w:val="23F005F3"/>
    <w:rsid w:val="240309CC"/>
    <w:rsid w:val="24141D83"/>
    <w:rsid w:val="241E6433"/>
    <w:rsid w:val="243D7B5F"/>
    <w:rsid w:val="24447F3A"/>
    <w:rsid w:val="24591FEA"/>
    <w:rsid w:val="246E5678"/>
    <w:rsid w:val="247E7689"/>
    <w:rsid w:val="24814BBC"/>
    <w:rsid w:val="249B0763"/>
    <w:rsid w:val="24A1150E"/>
    <w:rsid w:val="24A94AD2"/>
    <w:rsid w:val="24BE387D"/>
    <w:rsid w:val="24CA0253"/>
    <w:rsid w:val="24E6252D"/>
    <w:rsid w:val="24E9148D"/>
    <w:rsid w:val="25027D03"/>
    <w:rsid w:val="251173A9"/>
    <w:rsid w:val="252720C6"/>
    <w:rsid w:val="252C4989"/>
    <w:rsid w:val="253A2FE6"/>
    <w:rsid w:val="253D55E5"/>
    <w:rsid w:val="254C4AB3"/>
    <w:rsid w:val="25527898"/>
    <w:rsid w:val="25537903"/>
    <w:rsid w:val="255633C4"/>
    <w:rsid w:val="257544B4"/>
    <w:rsid w:val="257632C7"/>
    <w:rsid w:val="25844EED"/>
    <w:rsid w:val="258756B2"/>
    <w:rsid w:val="25941C8A"/>
    <w:rsid w:val="25A363A3"/>
    <w:rsid w:val="25C07404"/>
    <w:rsid w:val="25C740CF"/>
    <w:rsid w:val="25D67069"/>
    <w:rsid w:val="25DC42AE"/>
    <w:rsid w:val="25E877E8"/>
    <w:rsid w:val="25ED13B9"/>
    <w:rsid w:val="25FE4F00"/>
    <w:rsid w:val="26166813"/>
    <w:rsid w:val="262B57D2"/>
    <w:rsid w:val="262B6C15"/>
    <w:rsid w:val="263C355B"/>
    <w:rsid w:val="264D395F"/>
    <w:rsid w:val="26506AA8"/>
    <w:rsid w:val="266E7653"/>
    <w:rsid w:val="26846C6C"/>
    <w:rsid w:val="26964D73"/>
    <w:rsid w:val="269B5535"/>
    <w:rsid w:val="26BD39E4"/>
    <w:rsid w:val="26C20F80"/>
    <w:rsid w:val="26CA62F9"/>
    <w:rsid w:val="26D51B6A"/>
    <w:rsid w:val="26DB0AC7"/>
    <w:rsid w:val="270421CD"/>
    <w:rsid w:val="2705425B"/>
    <w:rsid w:val="270C6804"/>
    <w:rsid w:val="274814A5"/>
    <w:rsid w:val="276768EC"/>
    <w:rsid w:val="27847DB2"/>
    <w:rsid w:val="2787345C"/>
    <w:rsid w:val="278A5F32"/>
    <w:rsid w:val="278B228F"/>
    <w:rsid w:val="27A3153A"/>
    <w:rsid w:val="27AD0BE5"/>
    <w:rsid w:val="27BB4A68"/>
    <w:rsid w:val="27C00818"/>
    <w:rsid w:val="27C51C7C"/>
    <w:rsid w:val="27CF56FE"/>
    <w:rsid w:val="27E17748"/>
    <w:rsid w:val="27E378E5"/>
    <w:rsid w:val="27F927CB"/>
    <w:rsid w:val="28022942"/>
    <w:rsid w:val="280920A8"/>
    <w:rsid w:val="280C5A86"/>
    <w:rsid w:val="2813252C"/>
    <w:rsid w:val="281B1F5A"/>
    <w:rsid w:val="282B3BA4"/>
    <w:rsid w:val="282F04F4"/>
    <w:rsid w:val="28382B1D"/>
    <w:rsid w:val="283862DD"/>
    <w:rsid w:val="283E0F69"/>
    <w:rsid w:val="284A6AF2"/>
    <w:rsid w:val="284D0614"/>
    <w:rsid w:val="284F47A5"/>
    <w:rsid w:val="286D7058"/>
    <w:rsid w:val="28763B90"/>
    <w:rsid w:val="28853B64"/>
    <w:rsid w:val="28927893"/>
    <w:rsid w:val="289A7BB7"/>
    <w:rsid w:val="28A07144"/>
    <w:rsid w:val="28B44D5B"/>
    <w:rsid w:val="28BA3E93"/>
    <w:rsid w:val="28BC4253"/>
    <w:rsid w:val="28BC7A32"/>
    <w:rsid w:val="28C316D5"/>
    <w:rsid w:val="28CF7CCF"/>
    <w:rsid w:val="290323F3"/>
    <w:rsid w:val="290E0100"/>
    <w:rsid w:val="29191724"/>
    <w:rsid w:val="292145A5"/>
    <w:rsid w:val="293F2D9D"/>
    <w:rsid w:val="29463B2F"/>
    <w:rsid w:val="294C3E3D"/>
    <w:rsid w:val="295A5984"/>
    <w:rsid w:val="295D6A29"/>
    <w:rsid w:val="298651E5"/>
    <w:rsid w:val="29893E29"/>
    <w:rsid w:val="298B6B01"/>
    <w:rsid w:val="29990EFE"/>
    <w:rsid w:val="29AE28EC"/>
    <w:rsid w:val="29D9718F"/>
    <w:rsid w:val="29E101D6"/>
    <w:rsid w:val="2A046A63"/>
    <w:rsid w:val="2A097E2F"/>
    <w:rsid w:val="2A160491"/>
    <w:rsid w:val="2A3611ED"/>
    <w:rsid w:val="2A3F7C61"/>
    <w:rsid w:val="2A4F1E1C"/>
    <w:rsid w:val="2A58285A"/>
    <w:rsid w:val="2A5D5BA8"/>
    <w:rsid w:val="2A6C40C3"/>
    <w:rsid w:val="2A835EE3"/>
    <w:rsid w:val="2A852171"/>
    <w:rsid w:val="2A8B193A"/>
    <w:rsid w:val="2A9D1954"/>
    <w:rsid w:val="2AA70BD0"/>
    <w:rsid w:val="2AAE3536"/>
    <w:rsid w:val="2ABF734E"/>
    <w:rsid w:val="2AE34171"/>
    <w:rsid w:val="2AE405CB"/>
    <w:rsid w:val="2AE438A8"/>
    <w:rsid w:val="2AEE5898"/>
    <w:rsid w:val="2AF70059"/>
    <w:rsid w:val="2AF81942"/>
    <w:rsid w:val="2B1C746C"/>
    <w:rsid w:val="2B2069C2"/>
    <w:rsid w:val="2B2B2A1F"/>
    <w:rsid w:val="2B2C5432"/>
    <w:rsid w:val="2B2E4698"/>
    <w:rsid w:val="2B2E5BDA"/>
    <w:rsid w:val="2B303777"/>
    <w:rsid w:val="2B4C7596"/>
    <w:rsid w:val="2B563D13"/>
    <w:rsid w:val="2B633ECF"/>
    <w:rsid w:val="2B855CED"/>
    <w:rsid w:val="2B8B51CA"/>
    <w:rsid w:val="2B962CF5"/>
    <w:rsid w:val="2BA37B09"/>
    <w:rsid w:val="2BC4445E"/>
    <w:rsid w:val="2BC95E95"/>
    <w:rsid w:val="2BDB3222"/>
    <w:rsid w:val="2BEB261C"/>
    <w:rsid w:val="2BF80F6E"/>
    <w:rsid w:val="2C04250A"/>
    <w:rsid w:val="2C0E4F30"/>
    <w:rsid w:val="2C2C737E"/>
    <w:rsid w:val="2C304FC0"/>
    <w:rsid w:val="2C370559"/>
    <w:rsid w:val="2C4F6E06"/>
    <w:rsid w:val="2C7D2091"/>
    <w:rsid w:val="2C8F1515"/>
    <w:rsid w:val="2C9E2F3D"/>
    <w:rsid w:val="2CB170A6"/>
    <w:rsid w:val="2CB43E48"/>
    <w:rsid w:val="2CD12869"/>
    <w:rsid w:val="2CDB78F2"/>
    <w:rsid w:val="2CF27EE6"/>
    <w:rsid w:val="2CF82854"/>
    <w:rsid w:val="2D2F201B"/>
    <w:rsid w:val="2D3F5032"/>
    <w:rsid w:val="2D416C98"/>
    <w:rsid w:val="2D422B95"/>
    <w:rsid w:val="2D5D0E3C"/>
    <w:rsid w:val="2D747E71"/>
    <w:rsid w:val="2D82196A"/>
    <w:rsid w:val="2D937024"/>
    <w:rsid w:val="2D9822ED"/>
    <w:rsid w:val="2DAC27DA"/>
    <w:rsid w:val="2DC15AB2"/>
    <w:rsid w:val="2DE05A9A"/>
    <w:rsid w:val="2DF11771"/>
    <w:rsid w:val="2E0F6405"/>
    <w:rsid w:val="2E173F3E"/>
    <w:rsid w:val="2E2F5014"/>
    <w:rsid w:val="2E3C6F1F"/>
    <w:rsid w:val="2E3E7D53"/>
    <w:rsid w:val="2E516873"/>
    <w:rsid w:val="2E582015"/>
    <w:rsid w:val="2E5A1DA7"/>
    <w:rsid w:val="2E6403F9"/>
    <w:rsid w:val="2E6D18B6"/>
    <w:rsid w:val="2E84698C"/>
    <w:rsid w:val="2E88631C"/>
    <w:rsid w:val="2ECB0FC5"/>
    <w:rsid w:val="2ED67845"/>
    <w:rsid w:val="2F0752FB"/>
    <w:rsid w:val="2F0A7AAD"/>
    <w:rsid w:val="2F110AAC"/>
    <w:rsid w:val="2F132B4F"/>
    <w:rsid w:val="2F250675"/>
    <w:rsid w:val="2F404C2B"/>
    <w:rsid w:val="2F44292C"/>
    <w:rsid w:val="2F6B79FB"/>
    <w:rsid w:val="2F836755"/>
    <w:rsid w:val="2F913930"/>
    <w:rsid w:val="2F92254F"/>
    <w:rsid w:val="2F9617EA"/>
    <w:rsid w:val="2F9A2C41"/>
    <w:rsid w:val="2FA722F9"/>
    <w:rsid w:val="2FB07BD7"/>
    <w:rsid w:val="2FBA6A3F"/>
    <w:rsid w:val="2FBC49A8"/>
    <w:rsid w:val="2FC640E5"/>
    <w:rsid w:val="2FDB33DF"/>
    <w:rsid w:val="2FDE0D29"/>
    <w:rsid w:val="2FEA392C"/>
    <w:rsid w:val="3005631A"/>
    <w:rsid w:val="30231EE5"/>
    <w:rsid w:val="30285AD4"/>
    <w:rsid w:val="302B6290"/>
    <w:rsid w:val="302D5414"/>
    <w:rsid w:val="305636D0"/>
    <w:rsid w:val="308429D5"/>
    <w:rsid w:val="30940DBD"/>
    <w:rsid w:val="30980633"/>
    <w:rsid w:val="30A90C01"/>
    <w:rsid w:val="30B92A40"/>
    <w:rsid w:val="30EE0F1D"/>
    <w:rsid w:val="312D4257"/>
    <w:rsid w:val="31484876"/>
    <w:rsid w:val="31593978"/>
    <w:rsid w:val="315F3C31"/>
    <w:rsid w:val="316933D8"/>
    <w:rsid w:val="316A16D3"/>
    <w:rsid w:val="316A2475"/>
    <w:rsid w:val="3183602E"/>
    <w:rsid w:val="3184736D"/>
    <w:rsid w:val="318A5B52"/>
    <w:rsid w:val="31A4166B"/>
    <w:rsid w:val="31A450C0"/>
    <w:rsid w:val="31AC49C1"/>
    <w:rsid w:val="31B00C2E"/>
    <w:rsid w:val="31C243F0"/>
    <w:rsid w:val="31CC304A"/>
    <w:rsid w:val="31D02622"/>
    <w:rsid w:val="31DA778A"/>
    <w:rsid w:val="31DD2507"/>
    <w:rsid w:val="31DD7E8F"/>
    <w:rsid w:val="32040B95"/>
    <w:rsid w:val="320B2C80"/>
    <w:rsid w:val="320C5AF6"/>
    <w:rsid w:val="321065CC"/>
    <w:rsid w:val="32161236"/>
    <w:rsid w:val="322B5C81"/>
    <w:rsid w:val="32307498"/>
    <w:rsid w:val="323E09F9"/>
    <w:rsid w:val="325170C7"/>
    <w:rsid w:val="3252572B"/>
    <w:rsid w:val="32580CD2"/>
    <w:rsid w:val="326D7FFA"/>
    <w:rsid w:val="329E0009"/>
    <w:rsid w:val="32A40C4A"/>
    <w:rsid w:val="32A54E34"/>
    <w:rsid w:val="32DB10F0"/>
    <w:rsid w:val="32DC36BE"/>
    <w:rsid w:val="32F0740D"/>
    <w:rsid w:val="32FF2F34"/>
    <w:rsid w:val="32FF525D"/>
    <w:rsid w:val="33055F27"/>
    <w:rsid w:val="330B36B8"/>
    <w:rsid w:val="332A4A67"/>
    <w:rsid w:val="335B4BE5"/>
    <w:rsid w:val="33753B58"/>
    <w:rsid w:val="33756DA5"/>
    <w:rsid w:val="337F65B4"/>
    <w:rsid w:val="3387173C"/>
    <w:rsid w:val="338966A3"/>
    <w:rsid w:val="33CE5258"/>
    <w:rsid w:val="33DA2DB0"/>
    <w:rsid w:val="33DC1EDB"/>
    <w:rsid w:val="33E00E26"/>
    <w:rsid w:val="33E16A50"/>
    <w:rsid w:val="33FA2D18"/>
    <w:rsid w:val="34343E69"/>
    <w:rsid w:val="34496DDF"/>
    <w:rsid w:val="347913C1"/>
    <w:rsid w:val="347F6494"/>
    <w:rsid w:val="349B6BBA"/>
    <w:rsid w:val="34A77193"/>
    <w:rsid w:val="34B83A41"/>
    <w:rsid w:val="34BB5F19"/>
    <w:rsid w:val="34BF62A8"/>
    <w:rsid w:val="34CD10FA"/>
    <w:rsid w:val="34CE0303"/>
    <w:rsid w:val="34D415D7"/>
    <w:rsid w:val="34D556FB"/>
    <w:rsid w:val="34ED48F2"/>
    <w:rsid w:val="34F41588"/>
    <w:rsid w:val="3502077D"/>
    <w:rsid w:val="35056F11"/>
    <w:rsid w:val="351D27AF"/>
    <w:rsid w:val="35203C67"/>
    <w:rsid w:val="352A02C6"/>
    <w:rsid w:val="352A283D"/>
    <w:rsid w:val="352B0D0F"/>
    <w:rsid w:val="35387BC6"/>
    <w:rsid w:val="353B7D25"/>
    <w:rsid w:val="3549717E"/>
    <w:rsid w:val="356279FB"/>
    <w:rsid w:val="35636C12"/>
    <w:rsid w:val="35767E7C"/>
    <w:rsid w:val="3577745D"/>
    <w:rsid w:val="357F35F8"/>
    <w:rsid w:val="35850DCF"/>
    <w:rsid w:val="35A26569"/>
    <w:rsid w:val="35A32E9C"/>
    <w:rsid w:val="35BC182F"/>
    <w:rsid w:val="35CE13E3"/>
    <w:rsid w:val="35D43D85"/>
    <w:rsid w:val="35EC0761"/>
    <w:rsid w:val="35F102BA"/>
    <w:rsid w:val="360253FA"/>
    <w:rsid w:val="360910EC"/>
    <w:rsid w:val="36154377"/>
    <w:rsid w:val="36284128"/>
    <w:rsid w:val="362F57B9"/>
    <w:rsid w:val="36371F2D"/>
    <w:rsid w:val="36414186"/>
    <w:rsid w:val="364B7263"/>
    <w:rsid w:val="36537257"/>
    <w:rsid w:val="36606572"/>
    <w:rsid w:val="366317C9"/>
    <w:rsid w:val="3688179A"/>
    <w:rsid w:val="368F467B"/>
    <w:rsid w:val="369053A0"/>
    <w:rsid w:val="36A60D1A"/>
    <w:rsid w:val="36B45ED0"/>
    <w:rsid w:val="36C102D8"/>
    <w:rsid w:val="36C10C97"/>
    <w:rsid w:val="36C619EC"/>
    <w:rsid w:val="36C70D4B"/>
    <w:rsid w:val="36D551B5"/>
    <w:rsid w:val="36FB5973"/>
    <w:rsid w:val="37093E7B"/>
    <w:rsid w:val="37176E65"/>
    <w:rsid w:val="371B7A4E"/>
    <w:rsid w:val="371D4A65"/>
    <w:rsid w:val="37300C2F"/>
    <w:rsid w:val="37325CCF"/>
    <w:rsid w:val="3732707A"/>
    <w:rsid w:val="373B56E1"/>
    <w:rsid w:val="374346A8"/>
    <w:rsid w:val="375E71A5"/>
    <w:rsid w:val="37666DFB"/>
    <w:rsid w:val="377447E1"/>
    <w:rsid w:val="3775696C"/>
    <w:rsid w:val="37772367"/>
    <w:rsid w:val="37801207"/>
    <w:rsid w:val="379246DD"/>
    <w:rsid w:val="37947BCC"/>
    <w:rsid w:val="37951B32"/>
    <w:rsid w:val="37990557"/>
    <w:rsid w:val="37B01D10"/>
    <w:rsid w:val="37B45982"/>
    <w:rsid w:val="37CA70CB"/>
    <w:rsid w:val="37CE2B3C"/>
    <w:rsid w:val="37D814CB"/>
    <w:rsid w:val="37DC67FD"/>
    <w:rsid w:val="380565DC"/>
    <w:rsid w:val="380C7E37"/>
    <w:rsid w:val="381816BA"/>
    <w:rsid w:val="38234CA6"/>
    <w:rsid w:val="382D2217"/>
    <w:rsid w:val="38493000"/>
    <w:rsid w:val="384D32FB"/>
    <w:rsid w:val="38576098"/>
    <w:rsid w:val="385A5B2C"/>
    <w:rsid w:val="386565AA"/>
    <w:rsid w:val="3880369D"/>
    <w:rsid w:val="38974D4F"/>
    <w:rsid w:val="38AA0918"/>
    <w:rsid w:val="38AD23FC"/>
    <w:rsid w:val="38B903D0"/>
    <w:rsid w:val="38CE4918"/>
    <w:rsid w:val="38EC590A"/>
    <w:rsid w:val="38FC7456"/>
    <w:rsid w:val="39127ECD"/>
    <w:rsid w:val="391E1014"/>
    <w:rsid w:val="392679F4"/>
    <w:rsid w:val="39355620"/>
    <w:rsid w:val="395D3A2F"/>
    <w:rsid w:val="396D4E24"/>
    <w:rsid w:val="39763780"/>
    <w:rsid w:val="39931289"/>
    <w:rsid w:val="399C4C6B"/>
    <w:rsid w:val="399F07DF"/>
    <w:rsid w:val="39BE7B8F"/>
    <w:rsid w:val="39CD75C7"/>
    <w:rsid w:val="39CF3872"/>
    <w:rsid w:val="39EE2C50"/>
    <w:rsid w:val="39EF3481"/>
    <w:rsid w:val="3A05141A"/>
    <w:rsid w:val="3A0F6C99"/>
    <w:rsid w:val="3A15522D"/>
    <w:rsid w:val="3A24030F"/>
    <w:rsid w:val="3A5C3E37"/>
    <w:rsid w:val="3A606185"/>
    <w:rsid w:val="3A684CEC"/>
    <w:rsid w:val="3A715B56"/>
    <w:rsid w:val="3A761D60"/>
    <w:rsid w:val="3A7C50E6"/>
    <w:rsid w:val="3A7D0B00"/>
    <w:rsid w:val="3A9A3973"/>
    <w:rsid w:val="3AAD774B"/>
    <w:rsid w:val="3AB543B6"/>
    <w:rsid w:val="3ABE330E"/>
    <w:rsid w:val="3ABF2663"/>
    <w:rsid w:val="3AC6001D"/>
    <w:rsid w:val="3AC965B3"/>
    <w:rsid w:val="3ACE66E7"/>
    <w:rsid w:val="3AD03D27"/>
    <w:rsid w:val="3AD14E55"/>
    <w:rsid w:val="3AD44055"/>
    <w:rsid w:val="3AFA6BAB"/>
    <w:rsid w:val="3B06363F"/>
    <w:rsid w:val="3B126F55"/>
    <w:rsid w:val="3B1A77DE"/>
    <w:rsid w:val="3B1D7013"/>
    <w:rsid w:val="3B1E78C7"/>
    <w:rsid w:val="3B2833C3"/>
    <w:rsid w:val="3B2C669A"/>
    <w:rsid w:val="3B576663"/>
    <w:rsid w:val="3B583D95"/>
    <w:rsid w:val="3B694FA3"/>
    <w:rsid w:val="3B703465"/>
    <w:rsid w:val="3B7E384A"/>
    <w:rsid w:val="3B9D3568"/>
    <w:rsid w:val="3BA40F19"/>
    <w:rsid w:val="3BA42B19"/>
    <w:rsid w:val="3BB205AF"/>
    <w:rsid w:val="3BB94009"/>
    <w:rsid w:val="3BC27967"/>
    <w:rsid w:val="3BCE2F05"/>
    <w:rsid w:val="3BD16A77"/>
    <w:rsid w:val="3BD63AF9"/>
    <w:rsid w:val="3BDA1929"/>
    <w:rsid w:val="3BE706F7"/>
    <w:rsid w:val="3BEE76AC"/>
    <w:rsid w:val="3BF41BE2"/>
    <w:rsid w:val="3BF45BB1"/>
    <w:rsid w:val="3BF720BE"/>
    <w:rsid w:val="3BFC15A1"/>
    <w:rsid w:val="3C0B2462"/>
    <w:rsid w:val="3C0B48EF"/>
    <w:rsid w:val="3C1306BF"/>
    <w:rsid w:val="3C1B2B0C"/>
    <w:rsid w:val="3C1E6F24"/>
    <w:rsid w:val="3C2309A9"/>
    <w:rsid w:val="3C257937"/>
    <w:rsid w:val="3C48096F"/>
    <w:rsid w:val="3C5E2376"/>
    <w:rsid w:val="3C6412C1"/>
    <w:rsid w:val="3C6B5647"/>
    <w:rsid w:val="3C94629F"/>
    <w:rsid w:val="3C99117A"/>
    <w:rsid w:val="3CA01F06"/>
    <w:rsid w:val="3CC2583A"/>
    <w:rsid w:val="3CCC4192"/>
    <w:rsid w:val="3CDE33E8"/>
    <w:rsid w:val="3CE062C9"/>
    <w:rsid w:val="3D0F5505"/>
    <w:rsid w:val="3D60645A"/>
    <w:rsid w:val="3D6B0207"/>
    <w:rsid w:val="3D745677"/>
    <w:rsid w:val="3D7D30E7"/>
    <w:rsid w:val="3DA50323"/>
    <w:rsid w:val="3DA95AB0"/>
    <w:rsid w:val="3DAB611A"/>
    <w:rsid w:val="3DB4169C"/>
    <w:rsid w:val="3DC14411"/>
    <w:rsid w:val="3DC30D15"/>
    <w:rsid w:val="3DD21390"/>
    <w:rsid w:val="3DD402BF"/>
    <w:rsid w:val="3DDB2A4A"/>
    <w:rsid w:val="3DE24E2C"/>
    <w:rsid w:val="3DF73363"/>
    <w:rsid w:val="3E0129E6"/>
    <w:rsid w:val="3E082763"/>
    <w:rsid w:val="3E163A95"/>
    <w:rsid w:val="3E21308A"/>
    <w:rsid w:val="3E2D25A7"/>
    <w:rsid w:val="3E2D2A3E"/>
    <w:rsid w:val="3E5F12DC"/>
    <w:rsid w:val="3E7E44A6"/>
    <w:rsid w:val="3E7F0FC2"/>
    <w:rsid w:val="3E9326D9"/>
    <w:rsid w:val="3EA66A55"/>
    <w:rsid w:val="3EA8712A"/>
    <w:rsid w:val="3EAB2C96"/>
    <w:rsid w:val="3EAF16A4"/>
    <w:rsid w:val="3EC80FA6"/>
    <w:rsid w:val="3ECF164E"/>
    <w:rsid w:val="3EE44CD5"/>
    <w:rsid w:val="3F0D7E09"/>
    <w:rsid w:val="3F1C5323"/>
    <w:rsid w:val="3F236A70"/>
    <w:rsid w:val="3F313E4D"/>
    <w:rsid w:val="3F401B79"/>
    <w:rsid w:val="3F471F61"/>
    <w:rsid w:val="3F4F1081"/>
    <w:rsid w:val="3F7A7A1D"/>
    <w:rsid w:val="3F8208E7"/>
    <w:rsid w:val="3F917AAD"/>
    <w:rsid w:val="3F9F00A3"/>
    <w:rsid w:val="3FB12CD8"/>
    <w:rsid w:val="3FB32AD9"/>
    <w:rsid w:val="3FB7574B"/>
    <w:rsid w:val="3FDF683F"/>
    <w:rsid w:val="3FEB0E78"/>
    <w:rsid w:val="3FFE0849"/>
    <w:rsid w:val="4006050B"/>
    <w:rsid w:val="402F3338"/>
    <w:rsid w:val="403E1E55"/>
    <w:rsid w:val="403E2AD3"/>
    <w:rsid w:val="404220F1"/>
    <w:rsid w:val="405261BF"/>
    <w:rsid w:val="4062450B"/>
    <w:rsid w:val="406C6BBC"/>
    <w:rsid w:val="40807652"/>
    <w:rsid w:val="408151ED"/>
    <w:rsid w:val="40895610"/>
    <w:rsid w:val="40942829"/>
    <w:rsid w:val="40A523BC"/>
    <w:rsid w:val="40AB0CDE"/>
    <w:rsid w:val="40AE52C3"/>
    <w:rsid w:val="40AF2F4E"/>
    <w:rsid w:val="40C53EE2"/>
    <w:rsid w:val="40DF27C4"/>
    <w:rsid w:val="410044CC"/>
    <w:rsid w:val="411E6FFB"/>
    <w:rsid w:val="41440DAE"/>
    <w:rsid w:val="414B0759"/>
    <w:rsid w:val="414F0867"/>
    <w:rsid w:val="4167454C"/>
    <w:rsid w:val="4194469D"/>
    <w:rsid w:val="41CA00BD"/>
    <w:rsid w:val="41F136F9"/>
    <w:rsid w:val="41FF1225"/>
    <w:rsid w:val="420643FF"/>
    <w:rsid w:val="420A056C"/>
    <w:rsid w:val="420F1EAF"/>
    <w:rsid w:val="42194E99"/>
    <w:rsid w:val="421D4550"/>
    <w:rsid w:val="42232669"/>
    <w:rsid w:val="422B7041"/>
    <w:rsid w:val="422C0A92"/>
    <w:rsid w:val="423654CE"/>
    <w:rsid w:val="424043D7"/>
    <w:rsid w:val="426569B8"/>
    <w:rsid w:val="427C5179"/>
    <w:rsid w:val="428502E1"/>
    <w:rsid w:val="428E12E2"/>
    <w:rsid w:val="429829B1"/>
    <w:rsid w:val="42AA7568"/>
    <w:rsid w:val="42D12C8A"/>
    <w:rsid w:val="42D75753"/>
    <w:rsid w:val="42DB0742"/>
    <w:rsid w:val="42E10F26"/>
    <w:rsid w:val="42F07C8B"/>
    <w:rsid w:val="42F440B0"/>
    <w:rsid w:val="42F95E26"/>
    <w:rsid w:val="42FD4AE1"/>
    <w:rsid w:val="431702DE"/>
    <w:rsid w:val="431D2F9D"/>
    <w:rsid w:val="432203C2"/>
    <w:rsid w:val="43285AE3"/>
    <w:rsid w:val="43312BC1"/>
    <w:rsid w:val="434B0834"/>
    <w:rsid w:val="435222D3"/>
    <w:rsid w:val="43774BE5"/>
    <w:rsid w:val="437D542D"/>
    <w:rsid w:val="437F6A57"/>
    <w:rsid w:val="43882D7E"/>
    <w:rsid w:val="438946B9"/>
    <w:rsid w:val="43902366"/>
    <w:rsid w:val="43AE7EA0"/>
    <w:rsid w:val="43C01F98"/>
    <w:rsid w:val="43F25553"/>
    <w:rsid w:val="43F55009"/>
    <w:rsid w:val="440A5129"/>
    <w:rsid w:val="441D66DA"/>
    <w:rsid w:val="442818FB"/>
    <w:rsid w:val="442F426E"/>
    <w:rsid w:val="44401777"/>
    <w:rsid w:val="44447CEB"/>
    <w:rsid w:val="447841B0"/>
    <w:rsid w:val="4483110D"/>
    <w:rsid w:val="448A58A7"/>
    <w:rsid w:val="44BF1A6A"/>
    <w:rsid w:val="44C57B4A"/>
    <w:rsid w:val="44EE0E44"/>
    <w:rsid w:val="44F46D8E"/>
    <w:rsid w:val="44F84A4F"/>
    <w:rsid w:val="44FD7F0F"/>
    <w:rsid w:val="4514081F"/>
    <w:rsid w:val="45170139"/>
    <w:rsid w:val="45297235"/>
    <w:rsid w:val="452E339A"/>
    <w:rsid w:val="453E0C6A"/>
    <w:rsid w:val="45521ECF"/>
    <w:rsid w:val="45552C24"/>
    <w:rsid w:val="458330E1"/>
    <w:rsid w:val="45860762"/>
    <w:rsid w:val="45882EF0"/>
    <w:rsid w:val="45884783"/>
    <w:rsid w:val="45A65514"/>
    <w:rsid w:val="45BA0A13"/>
    <w:rsid w:val="45CC155B"/>
    <w:rsid w:val="45CD078E"/>
    <w:rsid w:val="462D6329"/>
    <w:rsid w:val="46335EF5"/>
    <w:rsid w:val="463E3547"/>
    <w:rsid w:val="467A19C6"/>
    <w:rsid w:val="469063C3"/>
    <w:rsid w:val="46986E7C"/>
    <w:rsid w:val="46AB01F3"/>
    <w:rsid w:val="46AC459F"/>
    <w:rsid w:val="46B03E9F"/>
    <w:rsid w:val="46B12AAC"/>
    <w:rsid w:val="46B8376A"/>
    <w:rsid w:val="46C13C29"/>
    <w:rsid w:val="46E0676F"/>
    <w:rsid w:val="46F35BF2"/>
    <w:rsid w:val="46FB4738"/>
    <w:rsid w:val="46FF6EDF"/>
    <w:rsid w:val="47011603"/>
    <w:rsid w:val="470652F6"/>
    <w:rsid w:val="47241775"/>
    <w:rsid w:val="472D4524"/>
    <w:rsid w:val="475B7839"/>
    <w:rsid w:val="475E796A"/>
    <w:rsid w:val="47716C0C"/>
    <w:rsid w:val="47871CD0"/>
    <w:rsid w:val="478D5B23"/>
    <w:rsid w:val="479056B2"/>
    <w:rsid w:val="47A77DC6"/>
    <w:rsid w:val="47AF1D68"/>
    <w:rsid w:val="47B07834"/>
    <w:rsid w:val="47B8101D"/>
    <w:rsid w:val="47BC7D46"/>
    <w:rsid w:val="47CB198A"/>
    <w:rsid w:val="47DB63EC"/>
    <w:rsid w:val="48092418"/>
    <w:rsid w:val="48170808"/>
    <w:rsid w:val="481D48C6"/>
    <w:rsid w:val="483240EB"/>
    <w:rsid w:val="483301D9"/>
    <w:rsid w:val="48362123"/>
    <w:rsid w:val="48425FC5"/>
    <w:rsid w:val="48573877"/>
    <w:rsid w:val="4864225A"/>
    <w:rsid w:val="48721A24"/>
    <w:rsid w:val="48885B21"/>
    <w:rsid w:val="48924CA4"/>
    <w:rsid w:val="48993014"/>
    <w:rsid w:val="48B0715A"/>
    <w:rsid w:val="48B519CD"/>
    <w:rsid w:val="48C31EE1"/>
    <w:rsid w:val="48C630E1"/>
    <w:rsid w:val="48D72392"/>
    <w:rsid w:val="48D861AC"/>
    <w:rsid w:val="48DB67E7"/>
    <w:rsid w:val="48DB6D0C"/>
    <w:rsid w:val="490A5637"/>
    <w:rsid w:val="492432D7"/>
    <w:rsid w:val="492E21D6"/>
    <w:rsid w:val="493D26E7"/>
    <w:rsid w:val="49691812"/>
    <w:rsid w:val="49930818"/>
    <w:rsid w:val="49976956"/>
    <w:rsid w:val="49A77C0C"/>
    <w:rsid w:val="49AA3254"/>
    <w:rsid w:val="49B6344A"/>
    <w:rsid w:val="49CC6088"/>
    <w:rsid w:val="49D14B06"/>
    <w:rsid w:val="49F13ACF"/>
    <w:rsid w:val="49F40354"/>
    <w:rsid w:val="49F43E89"/>
    <w:rsid w:val="4A1D2128"/>
    <w:rsid w:val="4A2E3F68"/>
    <w:rsid w:val="4A3F19F1"/>
    <w:rsid w:val="4A610DD1"/>
    <w:rsid w:val="4A6E58C3"/>
    <w:rsid w:val="4A884353"/>
    <w:rsid w:val="4A8A2557"/>
    <w:rsid w:val="4A9162C1"/>
    <w:rsid w:val="4AC162B6"/>
    <w:rsid w:val="4AC54807"/>
    <w:rsid w:val="4AC6188F"/>
    <w:rsid w:val="4AD8428A"/>
    <w:rsid w:val="4ADB6783"/>
    <w:rsid w:val="4ADD22F6"/>
    <w:rsid w:val="4AE24383"/>
    <w:rsid w:val="4AF35431"/>
    <w:rsid w:val="4B04368B"/>
    <w:rsid w:val="4B1B5622"/>
    <w:rsid w:val="4B3A1CED"/>
    <w:rsid w:val="4B3C6FEF"/>
    <w:rsid w:val="4B407F0A"/>
    <w:rsid w:val="4B4208AD"/>
    <w:rsid w:val="4B582079"/>
    <w:rsid w:val="4B5870F8"/>
    <w:rsid w:val="4B6C60F0"/>
    <w:rsid w:val="4B721FC2"/>
    <w:rsid w:val="4B92774F"/>
    <w:rsid w:val="4B9D183C"/>
    <w:rsid w:val="4BA17429"/>
    <w:rsid w:val="4BA54611"/>
    <w:rsid w:val="4BAE422C"/>
    <w:rsid w:val="4BB05F13"/>
    <w:rsid w:val="4BD242A5"/>
    <w:rsid w:val="4BF5400D"/>
    <w:rsid w:val="4C1E2616"/>
    <w:rsid w:val="4C2114D9"/>
    <w:rsid w:val="4C2E316F"/>
    <w:rsid w:val="4C364CE1"/>
    <w:rsid w:val="4C3F7482"/>
    <w:rsid w:val="4C4153A6"/>
    <w:rsid w:val="4C442DD7"/>
    <w:rsid w:val="4C46508C"/>
    <w:rsid w:val="4C753F57"/>
    <w:rsid w:val="4C7A089A"/>
    <w:rsid w:val="4C7C73C4"/>
    <w:rsid w:val="4C7E32F9"/>
    <w:rsid w:val="4C887193"/>
    <w:rsid w:val="4C903D5B"/>
    <w:rsid w:val="4CC15BB3"/>
    <w:rsid w:val="4CCD3484"/>
    <w:rsid w:val="4CDC6A63"/>
    <w:rsid w:val="4CDF7D19"/>
    <w:rsid w:val="4CE21AE2"/>
    <w:rsid w:val="4CF34F2C"/>
    <w:rsid w:val="4D293384"/>
    <w:rsid w:val="4D2F71FA"/>
    <w:rsid w:val="4D3C5D4E"/>
    <w:rsid w:val="4D3E2DD3"/>
    <w:rsid w:val="4D5F7AF0"/>
    <w:rsid w:val="4D6A115B"/>
    <w:rsid w:val="4D7D2F94"/>
    <w:rsid w:val="4DAF32C8"/>
    <w:rsid w:val="4DB15E54"/>
    <w:rsid w:val="4DB5066D"/>
    <w:rsid w:val="4DC709A0"/>
    <w:rsid w:val="4DCE7B46"/>
    <w:rsid w:val="4DF45B50"/>
    <w:rsid w:val="4E0C2063"/>
    <w:rsid w:val="4E1A020A"/>
    <w:rsid w:val="4E224C3B"/>
    <w:rsid w:val="4E2E4FEC"/>
    <w:rsid w:val="4E37653C"/>
    <w:rsid w:val="4E4D2840"/>
    <w:rsid w:val="4E856422"/>
    <w:rsid w:val="4E972C19"/>
    <w:rsid w:val="4EA030DA"/>
    <w:rsid w:val="4EB37C00"/>
    <w:rsid w:val="4EE37111"/>
    <w:rsid w:val="4EF77399"/>
    <w:rsid w:val="4EF83A09"/>
    <w:rsid w:val="4EF8747F"/>
    <w:rsid w:val="4F051FD3"/>
    <w:rsid w:val="4F087284"/>
    <w:rsid w:val="4F45626E"/>
    <w:rsid w:val="4F7E5722"/>
    <w:rsid w:val="4F8C650F"/>
    <w:rsid w:val="4F900072"/>
    <w:rsid w:val="4FA5559A"/>
    <w:rsid w:val="4FA736E9"/>
    <w:rsid w:val="4FAD1E2C"/>
    <w:rsid w:val="4FB402AA"/>
    <w:rsid w:val="4FBA797B"/>
    <w:rsid w:val="4FEA069D"/>
    <w:rsid w:val="4FEC6260"/>
    <w:rsid w:val="4FFA5CBD"/>
    <w:rsid w:val="500811EC"/>
    <w:rsid w:val="50277A20"/>
    <w:rsid w:val="502A02B8"/>
    <w:rsid w:val="502B4D5D"/>
    <w:rsid w:val="50445AF3"/>
    <w:rsid w:val="50573840"/>
    <w:rsid w:val="50633BEA"/>
    <w:rsid w:val="50755F19"/>
    <w:rsid w:val="507E1A79"/>
    <w:rsid w:val="508510F1"/>
    <w:rsid w:val="50860681"/>
    <w:rsid w:val="50881CF5"/>
    <w:rsid w:val="50BB2669"/>
    <w:rsid w:val="50BF753B"/>
    <w:rsid w:val="50C92DDB"/>
    <w:rsid w:val="50CE3FFE"/>
    <w:rsid w:val="50D268D0"/>
    <w:rsid w:val="50E364AD"/>
    <w:rsid w:val="50F03E67"/>
    <w:rsid w:val="50F4633A"/>
    <w:rsid w:val="50F55F6C"/>
    <w:rsid w:val="50F805F9"/>
    <w:rsid w:val="50FD451D"/>
    <w:rsid w:val="51234461"/>
    <w:rsid w:val="51327EB9"/>
    <w:rsid w:val="514C0CC5"/>
    <w:rsid w:val="514D71ED"/>
    <w:rsid w:val="51532571"/>
    <w:rsid w:val="518611D0"/>
    <w:rsid w:val="518625E9"/>
    <w:rsid w:val="518F341C"/>
    <w:rsid w:val="518F6E3F"/>
    <w:rsid w:val="519546EA"/>
    <w:rsid w:val="51985D46"/>
    <w:rsid w:val="519B5C8B"/>
    <w:rsid w:val="51A17401"/>
    <w:rsid w:val="51B47449"/>
    <w:rsid w:val="51B940A4"/>
    <w:rsid w:val="51C36A45"/>
    <w:rsid w:val="51DC6511"/>
    <w:rsid w:val="51FB6DC8"/>
    <w:rsid w:val="520845A4"/>
    <w:rsid w:val="52134814"/>
    <w:rsid w:val="521371BB"/>
    <w:rsid w:val="52144FB1"/>
    <w:rsid w:val="52182814"/>
    <w:rsid w:val="522443B4"/>
    <w:rsid w:val="52246B20"/>
    <w:rsid w:val="52384A3C"/>
    <w:rsid w:val="5241427E"/>
    <w:rsid w:val="525669E1"/>
    <w:rsid w:val="525A77FB"/>
    <w:rsid w:val="52695575"/>
    <w:rsid w:val="52773FFB"/>
    <w:rsid w:val="528B150F"/>
    <w:rsid w:val="52907536"/>
    <w:rsid w:val="529317EE"/>
    <w:rsid w:val="52951E77"/>
    <w:rsid w:val="529C4794"/>
    <w:rsid w:val="529F40A2"/>
    <w:rsid w:val="52A22628"/>
    <w:rsid w:val="52B17B1C"/>
    <w:rsid w:val="52C923FC"/>
    <w:rsid w:val="52D26D22"/>
    <w:rsid w:val="52DA15B9"/>
    <w:rsid w:val="52DF3EED"/>
    <w:rsid w:val="52F146F8"/>
    <w:rsid w:val="52F76C1F"/>
    <w:rsid w:val="53055DBB"/>
    <w:rsid w:val="530A51CD"/>
    <w:rsid w:val="531D1FC8"/>
    <w:rsid w:val="5323742E"/>
    <w:rsid w:val="53254B31"/>
    <w:rsid w:val="532B36E4"/>
    <w:rsid w:val="534323DC"/>
    <w:rsid w:val="534A2B9D"/>
    <w:rsid w:val="53606E8F"/>
    <w:rsid w:val="53986B6E"/>
    <w:rsid w:val="53A06293"/>
    <w:rsid w:val="53A165B5"/>
    <w:rsid w:val="53B4680F"/>
    <w:rsid w:val="53B955B3"/>
    <w:rsid w:val="53C51839"/>
    <w:rsid w:val="53CA5D4B"/>
    <w:rsid w:val="53CC1B9E"/>
    <w:rsid w:val="53D000D7"/>
    <w:rsid w:val="53E73EF4"/>
    <w:rsid w:val="5424627F"/>
    <w:rsid w:val="54274790"/>
    <w:rsid w:val="542F0221"/>
    <w:rsid w:val="544222A2"/>
    <w:rsid w:val="54591EE1"/>
    <w:rsid w:val="54617337"/>
    <w:rsid w:val="549429BF"/>
    <w:rsid w:val="54B830C3"/>
    <w:rsid w:val="54C75C46"/>
    <w:rsid w:val="54D56ABD"/>
    <w:rsid w:val="54D84606"/>
    <w:rsid w:val="54E179EC"/>
    <w:rsid w:val="54E721CB"/>
    <w:rsid w:val="54F7072B"/>
    <w:rsid w:val="5500041E"/>
    <w:rsid w:val="55026F13"/>
    <w:rsid w:val="550F1FE9"/>
    <w:rsid w:val="551642D9"/>
    <w:rsid w:val="5528043B"/>
    <w:rsid w:val="553D7084"/>
    <w:rsid w:val="554A7F01"/>
    <w:rsid w:val="556C2821"/>
    <w:rsid w:val="5572040D"/>
    <w:rsid w:val="558F495B"/>
    <w:rsid w:val="55A628AC"/>
    <w:rsid w:val="55B70ECF"/>
    <w:rsid w:val="55C42EAF"/>
    <w:rsid w:val="55D21FCC"/>
    <w:rsid w:val="55DE7E46"/>
    <w:rsid w:val="55F366EA"/>
    <w:rsid w:val="55F566C3"/>
    <w:rsid w:val="55FF4EBB"/>
    <w:rsid w:val="56002031"/>
    <w:rsid w:val="56010031"/>
    <w:rsid w:val="56320733"/>
    <w:rsid w:val="56445B56"/>
    <w:rsid w:val="565A1634"/>
    <w:rsid w:val="565C6A7A"/>
    <w:rsid w:val="56D901DE"/>
    <w:rsid w:val="56D94FCC"/>
    <w:rsid w:val="56DC37EB"/>
    <w:rsid w:val="56EA6CAE"/>
    <w:rsid w:val="570E3261"/>
    <w:rsid w:val="57352FE9"/>
    <w:rsid w:val="57562A68"/>
    <w:rsid w:val="57600DBB"/>
    <w:rsid w:val="57605E55"/>
    <w:rsid w:val="57752DAE"/>
    <w:rsid w:val="57795E2F"/>
    <w:rsid w:val="579B3373"/>
    <w:rsid w:val="57A94300"/>
    <w:rsid w:val="57B37073"/>
    <w:rsid w:val="57D75636"/>
    <w:rsid w:val="5808264A"/>
    <w:rsid w:val="581A2C4C"/>
    <w:rsid w:val="5871268F"/>
    <w:rsid w:val="58740CB1"/>
    <w:rsid w:val="587779BB"/>
    <w:rsid w:val="588069A6"/>
    <w:rsid w:val="588D1A3A"/>
    <w:rsid w:val="58926E5A"/>
    <w:rsid w:val="58B2791F"/>
    <w:rsid w:val="58B4092A"/>
    <w:rsid w:val="58C8214C"/>
    <w:rsid w:val="58CC67E6"/>
    <w:rsid w:val="58D3064E"/>
    <w:rsid w:val="58F933E3"/>
    <w:rsid w:val="590957F4"/>
    <w:rsid w:val="590A0409"/>
    <w:rsid w:val="590B3361"/>
    <w:rsid w:val="590C1EA9"/>
    <w:rsid w:val="591F132B"/>
    <w:rsid w:val="593374B1"/>
    <w:rsid w:val="5940343E"/>
    <w:rsid w:val="594201F4"/>
    <w:rsid w:val="594E4D85"/>
    <w:rsid w:val="595C4A2E"/>
    <w:rsid w:val="598075AC"/>
    <w:rsid w:val="599D5EB2"/>
    <w:rsid w:val="59A709C3"/>
    <w:rsid w:val="59C269A3"/>
    <w:rsid w:val="59E03ACD"/>
    <w:rsid w:val="5A2B651A"/>
    <w:rsid w:val="5A62034C"/>
    <w:rsid w:val="5A6413DF"/>
    <w:rsid w:val="5A660CA8"/>
    <w:rsid w:val="5A696E90"/>
    <w:rsid w:val="5A7F6DC4"/>
    <w:rsid w:val="5ABC30D7"/>
    <w:rsid w:val="5AC205EC"/>
    <w:rsid w:val="5AEA607C"/>
    <w:rsid w:val="5AF75C30"/>
    <w:rsid w:val="5AF816B3"/>
    <w:rsid w:val="5B0A4850"/>
    <w:rsid w:val="5B186B4D"/>
    <w:rsid w:val="5B1E4931"/>
    <w:rsid w:val="5B371F26"/>
    <w:rsid w:val="5B543B78"/>
    <w:rsid w:val="5B581111"/>
    <w:rsid w:val="5B784CDC"/>
    <w:rsid w:val="5B927208"/>
    <w:rsid w:val="5BAF6D96"/>
    <w:rsid w:val="5BB13C13"/>
    <w:rsid w:val="5BB63A8D"/>
    <w:rsid w:val="5BCB746D"/>
    <w:rsid w:val="5BCE174D"/>
    <w:rsid w:val="5BD45933"/>
    <w:rsid w:val="5BD84565"/>
    <w:rsid w:val="5BE12A89"/>
    <w:rsid w:val="5BE21AA9"/>
    <w:rsid w:val="5BED7F55"/>
    <w:rsid w:val="5C0C323B"/>
    <w:rsid w:val="5C131051"/>
    <w:rsid w:val="5C1427CC"/>
    <w:rsid w:val="5C175C1E"/>
    <w:rsid w:val="5C286BBA"/>
    <w:rsid w:val="5C2E1BD3"/>
    <w:rsid w:val="5C2F4451"/>
    <w:rsid w:val="5C5038BF"/>
    <w:rsid w:val="5C522A39"/>
    <w:rsid w:val="5C656649"/>
    <w:rsid w:val="5C671DB2"/>
    <w:rsid w:val="5C903C56"/>
    <w:rsid w:val="5C92162D"/>
    <w:rsid w:val="5CD95F47"/>
    <w:rsid w:val="5CDB7F05"/>
    <w:rsid w:val="5CED470A"/>
    <w:rsid w:val="5D0C1185"/>
    <w:rsid w:val="5D164E64"/>
    <w:rsid w:val="5D23194C"/>
    <w:rsid w:val="5D2C0957"/>
    <w:rsid w:val="5D2C2A0B"/>
    <w:rsid w:val="5D3A01FF"/>
    <w:rsid w:val="5D3D31F3"/>
    <w:rsid w:val="5D5525C0"/>
    <w:rsid w:val="5D5C50D6"/>
    <w:rsid w:val="5D791265"/>
    <w:rsid w:val="5D981164"/>
    <w:rsid w:val="5DB15445"/>
    <w:rsid w:val="5DBF11EF"/>
    <w:rsid w:val="5DCF329D"/>
    <w:rsid w:val="5E025BEC"/>
    <w:rsid w:val="5E053254"/>
    <w:rsid w:val="5E102C4C"/>
    <w:rsid w:val="5E1B489E"/>
    <w:rsid w:val="5E287321"/>
    <w:rsid w:val="5E330AA7"/>
    <w:rsid w:val="5E6542CE"/>
    <w:rsid w:val="5E6F4263"/>
    <w:rsid w:val="5E705D5E"/>
    <w:rsid w:val="5E7155E3"/>
    <w:rsid w:val="5E7856C0"/>
    <w:rsid w:val="5E7B6707"/>
    <w:rsid w:val="5E88412F"/>
    <w:rsid w:val="5E8D08B0"/>
    <w:rsid w:val="5EBD4DE0"/>
    <w:rsid w:val="5EC06A67"/>
    <w:rsid w:val="5EC90812"/>
    <w:rsid w:val="5ECD3424"/>
    <w:rsid w:val="5EEE4795"/>
    <w:rsid w:val="5EF138F6"/>
    <w:rsid w:val="5EF32DA8"/>
    <w:rsid w:val="5EFA7C9F"/>
    <w:rsid w:val="5F010835"/>
    <w:rsid w:val="5F09602E"/>
    <w:rsid w:val="5F24558D"/>
    <w:rsid w:val="5F325525"/>
    <w:rsid w:val="5F3F1A45"/>
    <w:rsid w:val="5F922C19"/>
    <w:rsid w:val="5F9652A7"/>
    <w:rsid w:val="5FA76259"/>
    <w:rsid w:val="5FB413B5"/>
    <w:rsid w:val="5FB52D45"/>
    <w:rsid w:val="5FC32B97"/>
    <w:rsid w:val="5FD52EF6"/>
    <w:rsid w:val="5FEA574D"/>
    <w:rsid w:val="600077CE"/>
    <w:rsid w:val="600777CB"/>
    <w:rsid w:val="601132AC"/>
    <w:rsid w:val="601651AA"/>
    <w:rsid w:val="6017060E"/>
    <w:rsid w:val="6018100A"/>
    <w:rsid w:val="601A14D4"/>
    <w:rsid w:val="603878DF"/>
    <w:rsid w:val="60390694"/>
    <w:rsid w:val="603C41F9"/>
    <w:rsid w:val="604E508B"/>
    <w:rsid w:val="60546463"/>
    <w:rsid w:val="6055050B"/>
    <w:rsid w:val="60685F24"/>
    <w:rsid w:val="606E5467"/>
    <w:rsid w:val="60711641"/>
    <w:rsid w:val="607361FA"/>
    <w:rsid w:val="6075543C"/>
    <w:rsid w:val="60856C2A"/>
    <w:rsid w:val="60914CD9"/>
    <w:rsid w:val="609574A4"/>
    <w:rsid w:val="609B7E73"/>
    <w:rsid w:val="60AB7CDB"/>
    <w:rsid w:val="60AF2CB5"/>
    <w:rsid w:val="60B272B6"/>
    <w:rsid w:val="60BC7D17"/>
    <w:rsid w:val="60D32894"/>
    <w:rsid w:val="60D90DD6"/>
    <w:rsid w:val="60DF6E74"/>
    <w:rsid w:val="610000B2"/>
    <w:rsid w:val="61027B67"/>
    <w:rsid w:val="61076A5F"/>
    <w:rsid w:val="61080B35"/>
    <w:rsid w:val="610F21EE"/>
    <w:rsid w:val="610F78D3"/>
    <w:rsid w:val="61225D02"/>
    <w:rsid w:val="613971C6"/>
    <w:rsid w:val="613A09AA"/>
    <w:rsid w:val="613B795F"/>
    <w:rsid w:val="61466016"/>
    <w:rsid w:val="615C22B2"/>
    <w:rsid w:val="616020F7"/>
    <w:rsid w:val="6162550E"/>
    <w:rsid w:val="6167321C"/>
    <w:rsid w:val="61772024"/>
    <w:rsid w:val="61792F4C"/>
    <w:rsid w:val="61806178"/>
    <w:rsid w:val="61884DDF"/>
    <w:rsid w:val="61970DAD"/>
    <w:rsid w:val="619F0F63"/>
    <w:rsid w:val="61A47AA4"/>
    <w:rsid w:val="61BE6E09"/>
    <w:rsid w:val="61CE4522"/>
    <w:rsid w:val="61D35530"/>
    <w:rsid w:val="61DD0AC7"/>
    <w:rsid w:val="61DE3A70"/>
    <w:rsid w:val="61E84964"/>
    <w:rsid w:val="61EC17BA"/>
    <w:rsid w:val="620B1444"/>
    <w:rsid w:val="6215202A"/>
    <w:rsid w:val="62153855"/>
    <w:rsid w:val="6218400E"/>
    <w:rsid w:val="624606B0"/>
    <w:rsid w:val="62460B6B"/>
    <w:rsid w:val="6246791A"/>
    <w:rsid w:val="62490E01"/>
    <w:rsid w:val="626B6CB3"/>
    <w:rsid w:val="626C4A96"/>
    <w:rsid w:val="62760F4B"/>
    <w:rsid w:val="62847349"/>
    <w:rsid w:val="629936AD"/>
    <w:rsid w:val="629A35E6"/>
    <w:rsid w:val="62A121DA"/>
    <w:rsid w:val="62B45DB2"/>
    <w:rsid w:val="62B54BE6"/>
    <w:rsid w:val="62BB19F8"/>
    <w:rsid w:val="62DF0B65"/>
    <w:rsid w:val="62E8462A"/>
    <w:rsid w:val="62F45B7B"/>
    <w:rsid w:val="630D5F57"/>
    <w:rsid w:val="63135F39"/>
    <w:rsid w:val="6316762C"/>
    <w:rsid w:val="631D6B7A"/>
    <w:rsid w:val="63245EB2"/>
    <w:rsid w:val="633F3DBF"/>
    <w:rsid w:val="636D6EE3"/>
    <w:rsid w:val="637447D0"/>
    <w:rsid w:val="638B3669"/>
    <w:rsid w:val="638E6F26"/>
    <w:rsid w:val="63A232DE"/>
    <w:rsid w:val="63AD07BD"/>
    <w:rsid w:val="63AD0996"/>
    <w:rsid w:val="63C2614F"/>
    <w:rsid w:val="63CB09CE"/>
    <w:rsid w:val="63D773C8"/>
    <w:rsid w:val="63D82127"/>
    <w:rsid w:val="63E17C18"/>
    <w:rsid w:val="63EE5D93"/>
    <w:rsid w:val="64013E82"/>
    <w:rsid w:val="64080318"/>
    <w:rsid w:val="64092F2D"/>
    <w:rsid w:val="64172F99"/>
    <w:rsid w:val="642331F2"/>
    <w:rsid w:val="64252E17"/>
    <w:rsid w:val="64252E49"/>
    <w:rsid w:val="642D133B"/>
    <w:rsid w:val="644371A4"/>
    <w:rsid w:val="644B7595"/>
    <w:rsid w:val="648F157C"/>
    <w:rsid w:val="64971276"/>
    <w:rsid w:val="64992F1B"/>
    <w:rsid w:val="649E51EF"/>
    <w:rsid w:val="64B54493"/>
    <w:rsid w:val="64DD4BDB"/>
    <w:rsid w:val="64EF3E9E"/>
    <w:rsid w:val="64F31EEE"/>
    <w:rsid w:val="64FB4A81"/>
    <w:rsid w:val="65003303"/>
    <w:rsid w:val="65065C76"/>
    <w:rsid w:val="650C2243"/>
    <w:rsid w:val="650E429A"/>
    <w:rsid w:val="651C3B18"/>
    <w:rsid w:val="652A2F85"/>
    <w:rsid w:val="65445E22"/>
    <w:rsid w:val="654A54C4"/>
    <w:rsid w:val="654C617A"/>
    <w:rsid w:val="655F352D"/>
    <w:rsid w:val="65692DAA"/>
    <w:rsid w:val="656B3442"/>
    <w:rsid w:val="656B4A5E"/>
    <w:rsid w:val="657A4015"/>
    <w:rsid w:val="658170BD"/>
    <w:rsid w:val="65C40C62"/>
    <w:rsid w:val="65C55A25"/>
    <w:rsid w:val="65C76F45"/>
    <w:rsid w:val="65CE6493"/>
    <w:rsid w:val="65D23CC6"/>
    <w:rsid w:val="65DA7311"/>
    <w:rsid w:val="65DC7354"/>
    <w:rsid w:val="65E34212"/>
    <w:rsid w:val="65EC34AA"/>
    <w:rsid w:val="65F3101E"/>
    <w:rsid w:val="661B5D28"/>
    <w:rsid w:val="661E3AE2"/>
    <w:rsid w:val="66397BCE"/>
    <w:rsid w:val="66474449"/>
    <w:rsid w:val="666764C7"/>
    <w:rsid w:val="66716696"/>
    <w:rsid w:val="66896782"/>
    <w:rsid w:val="669D7B9B"/>
    <w:rsid w:val="66A331FC"/>
    <w:rsid w:val="66AB1338"/>
    <w:rsid w:val="66C47DD6"/>
    <w:rsid w:val="66E11192"/>
    <w:rsid w:val="66E3257F"/>
    <w:rsid w:val="66EB5832"/>
    <w:rsid w:val="66F7445C"/>
    <w:rsid w:val="66F87A3D"/>
    <w:rsid w:val="66FE1BF1"/>
    <w:rsid w:val="66FE4101"/>
    <w:rsid w:val="670C40F9"/>
    <w:rsid w:val="67365496"/>
    <w:rsid w:val="674A2999"/>
    <w:rsid w:val="67556E8F"/>
    <w:rsid w:val="6762186A"/>
    <w:rsid w:val="676D6BBA"/>
    <w:rsid w:val="676E3B32"/>
    <w:rsid w:val="677F58F5"/>
    <w:rsid w:val="6786040C"/>
    <w:rsid w:val="67B32DEF"/>
    <w:rsid w:val="67DE582E"/>
    <w:rsid w:val="67E97E85"/>
    <w:rsid w:val="67FE0D38"/>
    <w:rsid w:val="680138A0"/>
    <w:rsid w:val="68023AA0"/>
    <w:rsid w:val="68116ED0"/>
    <w:rsid w:val="68135D4F"/>
    <w:rsid w:val="68136CC7"/>
    <w:rsid w:val="681D1761"/>
    <w:rsid w:val="6833149C"/>
    <w:rsid w:val="683543C4"/>
    <w:rsid w:val="684A5E16"/>
    <w:rsid w:val="68505BE2"/>
    <w:rsid w:val="68515A90"/>
    <w:rsid w:val="688B0810"/>
    <w:rsid w:val="68B1758E"/>
    <w:rsid w:val="68DA1ABB"/>
    <w:rsid w:val="690423F6"/>
    <w:rsid w:val="692159E6"/>
    <w:rsid w:val="693F0448"/>
    <w:rsid w:val="69410D05"/>
    <w:rsid w:val="695632E7"/>
    <w:rsid w:val="69644899"/>
    <w:rsid w:val="69723335"/>
    <w:rsid w:val="69AC05BF"/>
    <w:rsid w:val="69B43B04"/>
    <w:rsid w:val="69B71E9D"/>
    <w:rsid w:val="69C76EC6"/>
    <w:rsid w:val="69C955FF"/>
    <w:rsid w:val="69E6422C"/>
    <w:rsid w:val="69EE2D72"/>
    <w:rsid w:val="69F909B3"/>
    <w:rsid w:val="69FB1B84"/>
    <w:rsid w:val="6A0B4597"/>
    <w:rsid w:val="6A3D5256"/>
    <w:rsid w:val="6A470AFB"/>
    <w:rsid w:val="6A4C0E69"/>
    <w:rsid w:val="6A4D3851"/>
    <w:rsid w:val="6A584189"/>
    <w:rsid w:val="6A6B0CCB"/>
    <w:rsid w:val="6A706970"/>
    <w:rsid w:val="6A8C2664"/>
    <w:rsid w:val="6A957A08"/>
    <w:rsid w:val="6AAF5769"/>
    <w:rsid w:val="6AC62B18"/>
    <w:rsid w:val="6AF173CC"/>
    <w:rsid w:val="6AF53A7C"/>
    <w:rsid w:val="6AF6683F"/>
    <w:rsid w:val="6B1845D7"/>
    <w:rsid w:val="6B187143"/>
    <w:rsid w:val="6B2417C7"/>
    <w:rsid w:val="6B2D4754"/>
    <w:rsid w:val="6B2E2A71"/>
    <w:rsid w:val="6B3207D9"/>
    <w:rsid w:val="6B323C5F"/>
    <w:rsid w:val="6B3E35B4"/>
    <w:rsid w:val="6B5D5720"/>
    <w:rsid w:val="6B6827EE"/>
    <w:rsid w:val="6B715AD2"/>
    <w:rsid w:val="6B856713"/>
    <w:rsid w:val="6BA20887"/>
    <w:rsid w:val="6BA70C4E"/>
    <w:rsid w:val="6BB26F66"/>
    <w:rsid w:val="6BC42516"/>
    <w:rsid w:val="6BCB6DBA"/>
    <w:rsid w:val="6BE90A9B"/>
    <w:rsid w:val="6BED0865"/>
    <w:rsid w:val="6BFF16EE"/>
    <w:rsid w:val="6C0019E6"/>
    <w:rsid w:val="6C0A5E1B"/>
    <w:rsid w:val="6C311EB4"/>
    <w:rsid w:val="6C3452BB"/>
    <w:rsid w:val="6C48302F"/>
    <w:rsid w:val="6C545BEF"/>
    <w:rsid w:val="6C592221"/>
    <w:rsid w:val="6C5A4748"/>
    <w:rsid w:val="6C6A471E"/>
    <w:rsid w:val="6C6A5F6F"/>
    <w:rsid w:val="6C953132"/>
    <w:rsid w:val="6CB55FB6"/>
    <w:rsid w:val="6CC13413"/>
    <w:rsid w:val="6CC66FE1"/>
    <w:rsid w:val="6CE024B0"/>
    <w:rsid w:val="6CFD1D68"/>
    <w:rsid w:val="6D0331A2"/>
    <w:rsid w:val="6D0D2532"/>
    <w:rsid w:val="6D0E6AE7"/>
    <w:rsid w:val="6D224E74"/>
    <w:rsid w:val="6D3073F0"/>
    <w:rsid w:val="6D345A34"/>
    <w:rsid w:val="6D581864"/>
    <w:rsid w:val="6D67746C"/>
    <w:rsid w:val="6D786477"/>
    <w:rsid w:val="6D8341E0"/>
    <w:rsid w:val="6D8B72A3"/>
    <w:rsid w:val="6D9F762E"/>
    <w:rsid w:val="6DC86F99"/>
    <w:rsid w:val="6DDF7BFB"/>
    <w:rsid w:val="6DEA642E"/>
    <w:rsid w:val="6DED2976"/>
    <w:rsid w:val="6E110572"/>
    <w:rsid w:val="6E183579"/>
    <w:rsid w:val="6E1A1BAC"/>
    <w:rsid w:val="6E31337B"/>
    <w:rsid w:val="6E3D56F7"/>
    <w:rsid w:val="6E653163"/>
    <w:rsid w:val="6E695F5D"/>
    <w:rsid w:val="6E7B320A"/>
    <w:rsid w:val="6E7C74E8"/>
    <w:rsid w:val="6E817AED"/>
    <w:rsid w:val="6E9272B1"/>
    <w:rsid w:val="6E9C29FF"/>
    <w:rsid w:val="6ECA7A03"/>
    <w:rsid w:val="6ECD46CB"/>
    <w:rsid w:val="6ED924B9"/>
    <w:rsid w:val="6EE352FD"/>
    <w:rsid w:val="6EE7039B"/>
    <w:rsid w:val="6EE85CC5"/>
    <w:rsid w:val="6EEC5CD5"/>
    <w:rsid w:val="6EF30490"/>
    <w:rsid w:val="6EF6172C"/>
    <w:rsid w:val="6EFA0E72"/>
    <w:rsid w:val="6F090C2F"/>
    <w:rsid w:val="6F23177F"/>
    <w:rsid w:val="6F2B36E1"/>
    <w:rsid w:val="6F2E40DE"/>
    <w:rsid w:val="6F32333E"/>
    <w:rsid w:val="6F35207E"/>
    <w:rsid w:val="6F4A37D4"/>
    <w:rsid w:val="6F5539F1"/>
    <w:rsid w:val="6F5E0BCB"/>
    <w:rsid w:val="6F6553AB"/>
    <w:rsid w:val="6F6725B6"/>
    <w:rsid w:val="6F7F5F27"/>
    <w:rsid w:val="6FAD1251"/>
    <w:rsid w:val="6FB0656D"/>
    <w:rsid w:val="6FCC4F0D"/>
    <w:rsid w:val="6FD22F5B"/>
    <w:rsid w:val="6FD658D0"/>
    <w:rsid w:val="6FE17070"/>
    <w:rsid w:val="6FE87895"/>
    <w:rsid w:val="6FF20D8A"/>
    <w:rsid w:val="6FF450FB"/>
    <w:rsid w:val="70073198"/>
    <w:rsid w:val="700F1EC2"/>
    <w:rsid w:val="701528A0"/>
    <w:rsid w:val="70203A04"/>
    <w:rsid w:val="70204E50"/>
    <w:rsid w:val="7025662D"/>
    <w:rsid w:val="70372BA7"/>
    <w:rsid w:val="703B0A6F"/>
    <w:rsid w:val="704B6C55"/>
    <w:rsid w:val="704D45D9"/>
    <w:rsid w:val="70530590"/>
    <w:rsid w:val="706826B6"/>
    <w:rsid w:val="7068526D"/>
    <w:rsid w:val="706E19A2"/>
    <w:rsid w:val="70812523"/>
    <w:rsid w:val="7081680C"/>
    <w:rsid w:val="70B453E7"/>
    <w:rsid w:val="70D109FE"/>
    <w:rsid w:val="70EC0CAD"/>
    <w:rsid w:val="710D6BAF"/>
    <w:rsid w:val="712578BB"/>
    <w:rsid w:val="712A10CD"/>
    <w:rsid w:val="713C2E73"/>
    <w:rsid w:val="71426CB3"/>
    <w:rsid w:val="715936AF"/>
    <w:rsid w:val="71686B31"/>
    <w:rsid w:val="71C97736"/>
    <w:rsid w:val="71D37462"/>
    <w:rsid w:val="71E45C2D"/>
    <w:rsid w:val="720E6279"/>
    <w:rsid w:val="721F6ED7"/>
    <w:rsid w:val="7224353E"/>
    <w:rsid w:val="72273FAF"/>
    <w:rsid w:val="72292EBC"/>
    <w:rsid w:val="72307AFE"/>
    <w:rsid w:val="72333B33"/>
    <w:rsid w:val="723F7B94"/>
    <w:rsid w:val="72462F37"/>
    <w:rsid w:val="724773F0"/>
    <w:rsid w:val="72604AEA"/>
    <w:rsid w:val="72680A17"/>
    <w:rsid w:val="728E4E5A"/>
    <w:rsid w:val="72A33F5E"/>
    <w:rsid w:val="72A446B2"/>
    <w:rsid w:val="72A6532C"/>
    <w:rsid w:val="72D767C6"/>
    <w:rsid w:val="72E5636F"/>
    <w:rsid w:val="72EA678E"/>
    <w:rsid w:val="72ED1389"/>
    <w:rsid w:val="73216FF0"/>
    <w:rsid w:val="7359291A"/>
    <w:rsid w:val="7368441D"/>
    <w:rsid w:val="73706A32"/>
    <w:rsid w:val="738964A4"/>
    <w:rsid w:val="738E5DA3"/>
    <w:rsid w:val="73BF2A17"/>
    <w:rsid w:val="73D2061D"/>
    <w:rsid w:val="73D721A2"/>
    <w:rsid w:val="73DA1381"/>
    <w:rsid w:val="73E003AA"/>
    <w:rsid w:val="74087A45"/>
    <w:rsid w:val="7411527B"/>
    <w:rsid w:val="74176EAA"/>
    <w:rsid w:val="741E64ED"/>
    <w:rsid w:val="742064A8"/>
    <w:rsid w:val="742F6FB5"/>
    <w:rsid w:val="744B2E6F"/>
    <w:rsid w:val="746B0ABE"/>
    <w:rsid w:val="74753F71"/>
    <w:rsid w:val="74795D41"/>
    <w:rsid w:val="749869E0"/>
    <w:rsid w:val="749C4589"/>
    <w:rsid w:val="74B911C5"/>
    <w:rsid w:val="74C3337B"/>
    <w:rsid w:val="74CA29EB"/>
    <w:rsid w:val="75240F7C"/>
    <w:rsid w:val="752C7173"/>
    <w:rsid w:val="754B65DC"/>
    <w:rsid w:val="7551578D"/>
    <w:rsid w:val="75516854"/>
    <w:rsid w:val="755E6102"/>
    <w:rsid w:val="75616FEC"/>
    <w:rsid w:val="756451BE"/>
    <w:rsid w:val="759D6064"/>
    <w:rsid w:val="75CA50B1"/>
    <w:rsid w:val="75DA6EA0"/>
    <w:rsid w:val="761405D0"/>
    <w:rsid w:val="76191E6C"/>
    <w:rsid w:val="76204B81"/>
    <w:rsid w:val="7622296D"/>
    <w:rsid w:val="76304940"/>
    <w:rsid w:val="763B5A4C"/>
    <w:rsid w:val="763C064B"/>
    <w:rsid w:val="764A1D6F"/>
    <w:rsid w:val="764F7431"/>
    <w:rsid w:val="765C74BB"/>
    <w:rsid w:val="76713624"/>
    <w:rsid w:val="767E3364"/>
    <w:rsid w:val="769835EB"/>
    <w:rsid w:val="76BA2E8C"/>
    <w:rsid w:val="76BA570B"/>
    <w:rsid w:val="76C377C6"/>
    <w:rsid w:val="76DC54CB"/>
    <w:rsid w:val="76FB4180"/>
    <w:rsid w:val="770B7055"/>
    <w:rsid w:val="7713275A"/>
    <w:rsid w:val="771E0907"/>
    <w:rsid w:val="772A290B"/>
    <w:rsid w:val="7738145F"/>
    <w:rsid w:val="774721C2"/>
    <w:rsid w:val="7750625C"/>
    <w:rsid w:val="77617AE9"/>
    <w:rsid w:val="777353D1"/>
    <w:rsid w:val="777605C9"/>
    <w:rsid w:val="77773A10"/>
    <w:rsid w:val="777B5543"/>
    <w:rsid w:val="77804275"/>
    <w:rsid w:val="77820889"/>
    <w:rsid w:val="77930D52"/>
    <w:rsid w:val="77950DBC"/>
    <w:rsid w:val="779F45C1"/>
    <w:rsid w:val="77A26923"/>
    <w:rsid w:val="77C53EBC"/>
    <w:rsid w:val="77CB62A0"/>
    <w:rsid w:val="77CF70C2"/>
    <w:rsid w:val="77D9128B"/>
    <w:rsid w:val="77DC351A"/>
    <w:rsid w:val="78225CC0"/>
    <w:rsid w:val="782A4E9E"/>
    <w:rsid w:val="784A691F"/>
    <w:rsid w:val="7856728C"/>
    <w:rsid w:val="785F60D3"/>
    <w:rsid w:val="7873550B"/>
    <w:rsid w:val="788D5E90"/>
    <w:rsid w:val="789D05C4"/>
    <w:rsid w:val="78A72A76"/>
    <w:rsid w:val="78B83437"/>
    <w:rsid w:val="78C72633"/>
    <w:rsid w:val="78C83C5B"/>
    <w:rsid w:val="78D06DD0"/>
    <w:rsid w:val="78D146E4"/>
    <w:rsid w:val="78D643F8"/>
    <w:rsid w:val="78DA2871"/>
    <w:rsid w:val="78E80262"/>
    <w:rsid w:val="78ED0357"/>
    <w:rsid w:val="78EF0924"/>
    <w:rsid w:val="78EF615C"/>
    <w:rsid w:val="791965B1"/>
    <w:rsid w:val="7930053A"/>
    <w:rsid w:val="7932753B"/>
    <w:rsid w:val="793C6312"/>
    <w:rsid w:val="794926EF"/>
    <w:rsid w:val="7955298A"/>
    <w:rsid w:val="795F03D7"/>
    <w:rsid w:val="797F74AE"/>
    <w:rsid w:val="799E01BB"/>
    <w:rsid w:val="79A2315D"/>
    <w:rsid w:val="79BA3759"/>
    <w:rsid w:val="79BE260B"/>
    <w:rsid w:val="79BE5473"/>
    <w:rsid w:val="79D33AFC"/>
    <w:rsid w:val="79DB51A0"/>
    <w:rsid w:val="79DF036F"/>
    <w:rsid w:val="79E53FBF"/>
    <w:rsid w:val="79E814D1"/>
    <w:rsid w:val="7A072762"/>
    <w:rsid w:val="7A0C6EDC"/>
    <w:rsid w:val="7A0D0803"/>
    <w:rsid w:val="7A106437"/>
    <w:rsid w:val="7A121A10"/>
    <w:rsid w:val="7A1A0529"/>
    <w:rsid w:val="7A346F5E"/>
    <w:rsid w:val="7A3F153B"/>
    <w:rsid w:val="7A725F71"/>
    <w:rsid w:val="7A7902E9"/>
    <w:rsid w:val="7A800EFC"/>
    <w:rsid w:val="7A8249FE"/>
    <w:rsid w:val="7A92362C"/>
    <w:rsid w:val="7A9D3F7E"/>
    <w:rsid w:val="7A9E49B9"/>
    <w:rsid w:val="7AB03728"/>
    <w:rsid w:val="7ACA15AA"/>
    <w:rsid w:val="7AD33116"/>
    <w:rsid w:val="7AD74A8B"/>
    <w:rsid w:val="7AF90BF0"/>
    <w:rsid w:val="7AFA0D13"/>
    <w:rsid w:val="7B060C16"/>
    <w:rsid w:val="7B0F4710"/>
    <w:rsid w:val="7B17180A"/>
    <w:rsid w:val="7B182A9D"/>
    <w:rsid w:val="7B315F48"/>
    <w:rsid w:val="7B4D2FEA"/>
    <w:rsid w:val="7B727613"/>
    <w:rsid w:val="7B747B4E"/>
    <w:rsid w:val="7B801793"/>
    <w:rsid w:val="7B821345"/>
    <w:rsid w:val="7B8241A1"/>
    <w:rsid w:val="7B8463AA"/>
    <w:rsid w:val="7BA86870"/>
    <w:rsid w:val="7BB162C9"/>
    <w:rsid w:val="7BB6611E"/>
    <w:rsid w:val="7BBB2607"/>
    <w:rsid w:val="7BE1443C"/>
    <w:rsid w:val="7BFA1A40"/>
    <w:rsid w:val="7C074BCD"/>
    <w:rsid w:val="7C0D60F0"/>
    <w:rsid w:val="7C1860BB"/>
    <w:rsid w:val="7C1C022E"/>
    <w:rsid w:val="7C1C220A"/>
    <w:rsid w:val="7C290793"/>
    <w:rsid w:val="7C49638E"/>
    <w:rsid w:val="7C497420"/>
    <w:rsid w:val="7C750A71"/>
    <w:rsid w:val="7C7B6997"/>
    <w:rsid w:val="7C7D7B57"/>
    <w:rsid w:val="7C80381C"/>
    <w:rsid w:val="7C8714FC"/>
    <w:rsid w:val="7C8F2037"/>
    <w:rsid w:val="7C911CE9"/>
    <w:rsid w:val="7C9610CE"/>
    <w:rsid w:val="7C9C38D4"/>
    <w:rsid w:val="7CA5163E"/>
    <w:rsid w:val="7CA86025"/>
    <w:rsid w:val="7CDE7775"/>
    <w:rsid w:val="7CF11191"/>
    <w:rsid w:val="7CF30555"/>
    <w:rsid w:val="7CFB2B41"/>
    <w:rsid w:val="7D164F96"/>
    <w:rsid w:val="7D5C7067"/>
    <w:rsid w:val="7D727673"/>
    <w:rsid w:val="7D941EF2"/>
    <w:rsid w:val="7DA4091F"/>
    <w:rsid w:val="7DA45257"/>
    <w:rsid w:val="7DA613B9"/>
    <w:rsid w:val="7DA82CEF"/>
    <w:rsid w:val="7DAB1A26"/>
    <w:rsid w:val="7DBC3DD0"/>
    <w:rsid w:val="7DBD6FE8"/>
    <w:rsid w:val="7DC63DD1"/>
    <w:rsid w:val="7DEA73DF"/>
    <w:rsid w:val="7E0C2BCD"/>
    <w:rsid w:val="7E33207B"/>
    <w:rsid w:val="7E34244D"/>
    <w:rsid w:val="7E5635A2"/>
    <w:rsid w:val="7E5D48C5"/>
    <w:rsid w:val="7E5E4741"/>
    <w:rsid w:val="7E665738"/>
    <w:rsid w:val="7E6C39B2"/>
    <w:rsid w:val="7E7C1D53"/>
    <w:rsid w:val="7EB81014"/>
    <w:rsid w:val="7EE25C3D"/>
    <w:rsid w:val="7EE7634F"/>
    <w:rsid w:val="7EE91689"/>
    <w:rsid w:val="7EEE3766"/>
    <w:rsid w:val="7EF54337"/>
    <w:rsid w:val="7F0B4D77"/>
    <w:rsid w:val="7F10277C"/>
    <w:rsid w:val="7F251F21"/>
    <w:rsid w:val="7F264EF7"/>
    <w:rsid w:val="7F290B04"/>
    <w:rsid w:val="7F2F6889"/>
    <w:rsid w:val="7F3E4019"/>
    <w:rsid w:val="7F4149C2"/>
    <w:rsid w:val="7F4534D9"/>
    <w:rsid w:val="7F4A5230"/>
    <w:rsid w:val="7F4D270F"/>
    <w:rsid w:val="7F4F12A8"/>
    <w:rsid w:val="7F78428E"/>
    <w:rsid w:val="7F811799"/>
    <w:rsid w:val="7F9128F9"/>
    <w:rsid w:val="7FA36886"/>
    <w:rsid w:val="7FC55655"/>
    <w:rsid w:val="7FC96AD0"/>
    <w:rsid w:val="7FEA4980"/>
    <w:rsid w:val="7FEC4DC4"/>
    <w:rsid w:val="7FF24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2025-02-07T02:33:00Z</dcterms:created>
  <dc:creator>asus</dc:creator>
  <cp:lastModifiedBy>asus</cp:lastModifiedBy>
  <cp:lastPrinted>2025-02-07T02:28:00Z</cp:lastPrinted>
  <dcterms:modified xsi:type="dcterms:W3CDTF">2025-02-11T02:03:51Z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34E38BBD58EA423184615197BBE9F041</vt:lpwstr>
  </property>
</Properties>
</file>