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b/>
          <w:bCs/>
          <w:i w:val="0"/>
          <w:iCs w:val="0"/>
          <w:caps w:val="0"/>
          <w:color w:val="404040"/>
          <w:spacing w:val="0"/>
          <w:sz w:val="24"/>
          <w:szCs w:val="24"/>
          <w:u w:val="none"/>
          <w:shd w:val="clear" w:fill="FFFFFF"/>
        </w:rPr>
      </w:pPr>
    </w:p>
    <w:p>
      <w:pPr>
        <w:numPr>
          <w:ilvl w:val="0"/>
          <w:numId w:val="0"/>
        </w:num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目录</w:t>
      </w:r>
    </w:p>
    <w:p>
      <w:pPr>
        <w:numPr>
          <w:ilvl w:val="0"/>
          <w:numId w:val="0"/>
        </w:numPr>
        <w:jc w:val="both"/>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2025年度部门预算情况说明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一、部门情况</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二、收入预算说明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三、支出预算说明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四、部门"三公"经费财政拨款预算说明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五、其他情况说明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 xml:space="preserve">   （一）部门政府采购预算说明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 xml:space="preserve">   （二）政府购买服务预算说明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（三）机关运行经费情况说明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（四）项目支出绩效目标情况说明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（五）重点行政事业性收费情况说明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（六）国有资本经营预算财政拨款情况说明</w:t>
      </w:r>
    </w:p>
    <w:p>
      <w:pPr>
        <w:numPr>
          <w:ilvl w:val="0"/>
          <w:numId w:val="0"/>
        </w:numPr>
        <w:ind w:firstLine="960" w:firstLineChars="300"/>
        <w:rPr>
          <w:rFonts w:hint="default" w:ascii="宋体" w:hAnsi="宋体" w:cs="宋体"/>
          <w:sz w:val="32"/>
          <w:szCs w:val="32"/>
          <w:lang w:val="en-US" w:eastAsia="zh-CN"/>
        </w:rPr>
      </w:pPr>
      <w:r>
        <w:rPr>
          <w:rFonts w:hint="default" w:ascii="宋体" w:hAnsi="宋体" w:cs="宋体"/>
          <w:sz w:val="32"/>
          <w:szCs w:val="32"/>
          <w:lang w:val="en-US" w:eastAsia="zh-CN"/>
        </w:rPr>
        <w:t>（七）</w:t>
      </w:r>
      <w:r>
        <w:rPr>
          <w:rFonts w:hint="eastAsia" w:ascii="宋体" w:hAnsi="宋体" w:cs="宋体"/>
          <w:sz w:val="32"/>
          <w:szCs w:val="32"/>
          <w:lang w:val="en-US" w:eastAsia="zh-CN"/>
        </w:rPr>
        <w:t>国有</w:t>
      </w:r>
      <w:r>
        <w:rPr>
          <w:rFonts w:hint="default" w:ascii="宋体" w:hAnsi="宋体" w:cs="宋体"/>
          <w:sz w:val="32"/>
          <w:szCs w:val="32"/>
          <w:lang w:val="en-US" w:eastAsia="zh-CN"/>
        </w:rPr>
        <w:t>资产占有使用情况说明</w:t>
      </w:r>
    </w:p>
    <w:p>
      <w:pPr>
        <w:numPr>
          <w:ilvl w:val="0"/>
          <w:numId w:val="0"/>
        </w:numPr>
        <w:ind w:firstLine="960" w:firstLineChars="300"/>
        <w:rPr>
          <w:rFonts w:hint="default" w:ascii="宋体" w:hAnsi="宋体" w:cs="宋体"/>
          <w:sz w:val="32"/>
          <w:szCs w:val="32"/>
          <w:lang w:val="en-US" w:eastAsia="zh-CN"/>
        </w:rPr>
      </w:pPr>
      <w:r>
        <w:rPr>
          <w:rFonts w:hint="eastAsia" w:ascii="宋体" w:hAnsi="宋体" w:cs="宋体"/>
          <w:sz w:val="32"/>
          <w:szCs w:val="32"/>
          <w:lang w:val="en-US" w:eastAsia="zh-CN"/>
        </w:rPr>
        <w:t>（八）其他事项说明</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六、名词解释</w:t>
      </w:r>
    </w:p>
    <w:p>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第二部分 2025年部门预算报表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一、收支总表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二、收入总表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三、支出预算总表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四、项目支出表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五、政府采购预算明细表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六、财政拨款收支预算总表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七、一般公共预算财政拨款支出表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八、一般公共预算财政拨款基本支出表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九、政府性基金预算财政拨款支出表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十、国有资本经营预算财政拨款支出表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十一、财政拨款（含一般公共预算和政府性基金预算）“三公”经费支出表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十二、政府购买服务预算财政拨款明细表</w:t>
      </w:r>
    </w:p>
    <w:p>
      <w:pPr>
        <w:numPr>
          <w:ilvl w:val="0"/>
          <w:numId w:val="0"/>
        </w:numPr>
        <w:ind w:left="525" w:leftChars="0"/>
        <w:rPr>
          <w:rFonts w:hint="eastAsia" w:ascii="宋体" w:hAnsi="宋体" w:cs="宋体"/>
          <w:sz w:val="32"/>
          <w:szCs w:val="32"/>
          <w:lang w:val="en-US" w:eastAsia="zh-CN"/>
        </w:rPr>
      </w:pPr>
      <w:r>
        <w:rPr>
          <w:rFonts w:hint="eastAsia" w:ascii="宋体" w:hAnsi="宋体" w:cs="宋体"/>
          <w:sz w:val="32"/>
          <w:szCs w:val="32"/>
          <w:lang w:val="en-US" w:eastAsia="zh-CN"/>
        </w:rPr>
        <w:t>十三、项目支出绩效表</w:t>
      </w:r>
    </w:p>
    <w:p>
      <w:pPr>
        <w:numPr>
          <w:ilvl w:val="0"/>
          <w:numId w:val="0"/>
        </w:numPr>
        <w:ind w:left="525" w:leftChars="0"/>
        <w:rPr>
          <w:rFonts w:hint="default" w:ascii="宋体" w:hAnsi="宋体" w:cs="宋体"/>
          <w:sz w:val="32"/>
          <w:szCs w:val="32"/>
          <w:lang w:val="en-US" w:eastAsia="zh-CN"/>
        </w:rPr>
      </w:pPr>
      <w:r>
        <w:rPr>
          <w:rFonts w:hint="eastAsia" w:ascii="宋体" w:hAnsi="宋体" w:cs="宋体"/>
          <w:sz w:val="32"/>
          <w:szCs w:val="32"/>
          <w:lang w:val="en-US" w:eastAsia="zh-CN"/>
        </w:rPr>
        <w:t>十四、部门整体支出绩效目标申报表</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suppressAutoHyphen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第一部分 2025年度部门预算情况说明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iCs w:val="0"/>
          <w:caps w:val="0"/>
          <w:color w:val="404040"/>
          <w:spacing w:val="0"/>
          <w:sz w:val="24"/>
          <w:szCs w:val="24"/>
          <w:u w:val="none"/>
          <w:shd w:val="clear" w:fill="FFFFFF"/>
        </w:rPr>
      </w:pP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一、部门情况</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（一）部门机构设置、职责</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 北京市丰台区城市管理综合行政执法局（简称区城管执法局）为北京市丰台区城市管理委员会（简称区城市管理委）管理的副处级行政执法机构，以区城管执法局名义执法。</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职责：1、贯彻落实国家及本市有关城市管理方面的法律、法规、规章和政策，依法开展城市管理综合行政执法及相关水行政执法工作，负责重大疑难复杂案件的查处工作，研究提出完善全区城市管理综合行政执法体系的意见、建议和措施。2、负责全区街镇综合行政执法工作的统筹指导和综合协调。3、负责组织全区街镇综合行政执法人员开展各类教育培训工作。4、负责制定全区城市管理综合行政执法工作年度计划、专项治理方案并组织实施。5、建立完善全区综合行政执法工作绩效考评体系，对全区综合行政执法工作进行通报评价。6、承办上级交办的其他任务。</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包含行政单位1个（含行政执法机构1个），共有1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个科室、执法中队，包含综合科、业务指导科、装备财务科、治违办公室、执法一中队、执法二中队、执法三中队、执法四中队、执法五中队、执法六中队、执法七中队、执法八中队、执法九中队。</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（二）人员构成情况</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北京市丰台区城市管理综合行政执法局行政编制72人，实际63人；参公事业编制23人，实际19人；聘用人员0人。离退休人员93人，其中：离休0人，退休93人。</w:t>
      </w:r>
    </w:p>
    <w:p>
      <w:pPr>
        <w:keepNext w:val="0"/>
        <w:keepLines w:val="0"/>
        <w:pageBreakBefore w:val="0"/>
        <w:numPr>
          <w:ilvl w:val="0"/>
          <w:numId w:val="1"/>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本预算年度的主要工作任务</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1、以政治建设为要，坚持党建引领，筑牢发展根基。</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2、以建队强队为重，突出教育引导，提升队伍能力。</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3、以主责主业为本，抓好服务保障，优化辖区秩序。</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4、以深化改革为基，强化使命担当，完善管理体系。</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二、收入预算说明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收入预算3740.584618万元，比2024年3116.764472万元增加623.820146万元，上升20.01%。其中：本年财政拨款收入3740.584618万元，比2024年3116.764472万元增加623.820146万元，；本年其他资金收入0万元,与2024年持平；上年结转结余资金0万元,与2024年持平。</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三、支出预算说明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2025年支出预算3740.584618万元，比2024年3116.764472万元增加623.820146万元，上升20.01%。主要原因为：区水务综合执法队转隶合并到城管执法局，人员增加，支出增加。</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（一）基本支出预算3061.619862万元，占总支出预算81.85%，比2024年2514.301792万元增加547.31807万元，增加21.77%。</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项目支出预算678.964756万元，比2024年602.46268万元增加76.502076万元，增加12.70%，增加原因：增加了水务执法的职责，增加水质检测等执法项目经费。部门预算项目主要为：2025年监察员意外伤害保险，2025聘用保安经费，2024聘用保安经费尾款，培训经费，宣传经费，规范化执法队建设，购置执法装备，执法办案工作经费，2025年水质检测费，信息化设备服务费，法律咨询服务。</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四、部门“三公”经费财政拨款预算说明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（一）“三公”经费的单位范围</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北京市丰台区城市管理综合行政执法局因公出国（境）费用、公务接待费、公务用车购置和运行维护费开支单位包括1个所属单位。</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（二）“三公”经费财政拨款情况说明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2025年“三公”经费财政拨款预算0万元，与2024年持平。其中：</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1.因公出国（境）费用。2025年预算数0万元，与2024年持平。</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2.公务接待费。2025年预算数0万元，与2024年持平。</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公务用车购置和运行维护费。2025年预算数0万元，与2024年持平。其中，公务用车购置费2025年预算数0万元，与2024年持平；公务用车运行维护费2025年预算数0万元，其中：公务用车加油0万元，公务用车维修0万元，公务用车保险0万元，其他0万元。与2024年持平。</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五、其他情况说明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（一）部门政府采购预算说明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2025年北京市丰台区城市管理综合行政执法局政府采购预算总额225.024万元。</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（二）政府购买服务预算说明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2025年北京市丰台区城市管理综合行政执法局政府购买服务预算总额233.924万元。</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（三）机关运行经费情况说明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北京市丰台区城市管理综合行政执法局1家行政单位的机关运行经费财政拨款预算98.29281万元。机关运行经费：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（四）项目支出绩效目标情况说明 </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2025年，北京市丰台区城市管理综合行政执法局填报绩效目标的预算项目11个，占全部预算项目11个的100%。填报绩效目标的项目支出预算678.964756万元，占本部门全部项目支出预算的100%。（注：不含基本支出）</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（五）重点行政事业性收费情况说明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本部门2025年无重点行政事业性收费。</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（六）国有资本经营预算财政拨款情况说明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本部门2025年无国有资本经营预算财政拨款安排的预算。</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（七）固定资产占有使用情况说明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截止2024年底，本部门（包括各下属单位）固定资产总额716.40万元，其中：车辆7台，65.995400万元；单位价值50万元以上的通用设备0台（套），0万元；单位价值100万元以上的专用设备0台（套），0万元。</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（八）其他事项说明</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无</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六、名词解释</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预算：</w:t>
      </w:r>
      <w:r>
        <w:rPr>
          <w:rFonts w:hint="eastAsia" w:ascii="仿宋_GB2312" w:hAnsi="宋体" w:eastAsia="仿宋_GB2312" w:cs="宋体"/>
          <w:b w:val="0"/>
          <w:bCs w:val="0"/>
          <w:color w:val="000000"/>
          <w:spacing w:val="15"/>
          <w:kern w:val="0"/>
          <w:sz w:val="32"/>
          <w:szCs w:val="32"/>
          <w:lang w:val="en-US" w:eastAsia="zh-CN"/>
        </w:rPr>
        <w:t>指遵循统筹兼顾、勤俭节约、量力而行、讲求绩效和收支平衡的原则编制，经法定程序审核批准的国家年度集中性财政收支计划。政府的全部收入和支出都应当纳入预算，地方各级预算一般不列赤字。</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一般公共预算：</w:t>
      </w:r>
      <w:r>
        <w:rPr>
          <w:rFonts w:hint="eastAsia" w:ascii="仿宋_GB2312" w:hAnsi="宋体" w:eastAsia="仿宋_GB2312" w:cs="宋体"/>
          <w:b w:val="0"/>
          <w:bCs w:val="0"/>
          <w:color w:val="000000"/>
          <w:spacing w:val="15"/>
          <w:kern w:val="0"/>
          <w:sz w:val="32"/>
          <w:szCs w:val="32"/>
          <w:lang w:val="en-US" w:eastAsia="zh-CN"/>
        </w:rPr>
        <w:t>对以税收为主体的财政收入，安排用于保障和改善民生、推动经济社会发展、维护国家安全、维持国家机构正常运转等方面的收支预算。</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结余结转资金：</w:t>
      </w:r>
      <w:r>
        <w:rPr>
          <w:rFonts w:hint="eastAsia" w:ascii="仿宋_GB2312" w:hAnsi="宋体" w:eastAsia="仿宋_GB2312" w:cs="宋体"/>
          <w:b w:val="0"/>
          <w:bCs w:val="0"/>
          <w:color w:val="000000"/>
          <w:spacing w:val="15"/>
          <w:kern w:val="0"/>
          <w:sz w:val="32"/>
          <w:szCs w:val="32"/>
          <w:lang w:val="en-US" w:eastAsia="zh-CN"/>
        </w:rPr>
        <w:t>指当年预算已执行但工作目标未完成，或者因故未执行，下一年度需要按原用途继续使用的资金。</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部门预算:</w:t>
      </w:r>
      <w:r>
        <w:rPr>
          <w:rFonts w:hint="eastAsia" w:ascii="仿宋_GB2312" w:hAnsi="宋体" w:eastAsia="仿宋_GB2312" w:cs="宋体"/>
          <w:b w:val="0"/>
          <w:bCs w:val="0"/>
          <w:color w:val="000000"/>
          <w:spacing w:val="15"/>
          <w:kern w:val="0"/>
          <w:sz w:val="32"/>
          <w:szCs w:val="32"/>
          <w:lang w:val="en-US" w:eastAsia="zh-CN"/>
        </w:rPr>
        <w:t>指与财政部门直接发生预算缴、拨款关系的国家机关、社会团体和其他单位，依据国家有关法律、法规规定及其履行职能的需要编制的本部门年度收支计划。部门预算的实施，严格了预算管理，增加了政府工作的透明度，是防止腐败的重要手段和预防措施之一。</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政府采购:</w:t>
      </w:r>
      <w:r>
        <w:rPr>
          <w:rFonts w:hint="eastAsia" w:ascii="仿宋_GB2312" w:hAnsi="宋体" w:eastAsia="仿宋_GB2312" w:cs="宋体"/>
          <w:b w:val="0"/>
          <w:bCs w:val="0"/>
          <w:color w:val="000000"/>
          <w:spacing w:val="15"/>
          <w:kern w:val="0"/>
          <w:sz w:val="32"/>
          <w:szCs w:val="32"/>
          <w:lang w:val="en-US" w:eastAsia="zh-CN"/>
        </w:rPr>
        <w:t>指各级国家机关、事业单位和团体组织，使用财政性资金采购依法制定的集中采购目录以内的或者采购限额标准以上的货物、工程和服务的行为。政府采购是规范财政支出管理和强化预算约束的有效措施。</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预算绩效管理：</w:t>
      </w:r>
      <w:r>
        <w:rPr>
          <w:rFonts w:hint="eastAsia" w:ascii="仿宋_GB2312" w:hAnsi="宋体" w:eastAsia="仿宋_GB2312" w:cs="宋体"/>
          <w:b w:val="0"/>
          <w:bCs w:val="0"/>
          <w:color w:val="000000"/>
          <w:spacing w:val="15"/>
          <w:kern w:val="0"/>
          <w:sz w:val="32"/>
          <w:szCs w:val="32"/>
          <w:lang w:val="en-US" w:eastAsia="zh-CN"/>
        </w:rPr>
        <w:t>指在预算管理中融入绩效理念，将绩效目标设定、绩效跟踪、绩效评价及结果应用纳入预算编制、执行、监督全过程，以提高预算的经济、社会效益为目的的管理活动。预算绩效管理是一种以资金使用绩效为导向的预算管理模式，要求政府部门不断改进服务水平和质量，有效提高财政资金使用效益，并成为实施行政问责制和加强政府效能建设的重要抓手，是政府绩效管理的重要组成部分。</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“三公”经费：</w:t>
      </w:r>
      <w:r>
        <w:rPr>
          <w:rFonts w:hint="eastAsia" w:ascii="仿宋_GB2312" w:hAnsi="宋体" w:eastAsia="仿宋_GB2312" w:cs="宋体"/>
          <w:b w:val="0"/>
          <w:bCs w:val="0"/>
          <w:color w:val="000000"/>
          <w:spacing w:val="15"/>
          <w:kern w:val="0"/>
          <w:sz w:val="32"/>
          <w:szCs w:val="32"/>
          <w:lang w:val="en-US" w:eastAsia="zh-CN"/>
        </w:rPr>
        <w:t>指因公出国（境）费、公务用车购置及运行维护费和公务接待费。其中，因公出国（境）费反映单位公务出国（境）的国际旅费、国外城市间交通费、住宿费、伙食费、培训费、公杂费等支出；公务用车运行维护费反映单位按规定保留的公务用车租用费、燃料费、维修费、过路过桥费、保险费、安全奖励费用等支出；公务接待费反映单位按规定开支的各类公务接待（含外宾接待）支出。</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政府购买服务：</w:t>
      </w:r>
      <w:r>
        <w:rPr>
          <w:rFonts w:hint="eastAsia" w:ascii="仿宋_GB2312" w:hAnsi="宋体" w:eastAsia="仿宋_GB2312" w:cs="宋体"/>
          <w:b w:val="0"/>
          <w:bCs w:val="0"/>
          <w:color w:val="000000"/>
          <w:spacing w:val="15"/>
          <w:kern w:val="0"/>
          <w:sz w:val="32"/>
          <w:szCs w:val="32"/>
          <w:lang w:val="en-US" w:eastAsia="zh-CN"/>
        </w:rPr>
        <w:t>指通过发挥市场机制作用，把政府直接向社会公众提供的公共服务等事项，按照一定的方式和程序，交由具备条件的社会力量承担，并由政府根据服务数量和质量向其支付费用。</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机关运行经费：</w:t>
      </w:r>
      <w:r>
        <w:rPr>
          <w:rFonts w:hint="eastAsia" w:ascii="仿宋_GB2312" w:hAnsi="宋体" w:eastAsia="仿宋_GB2312" w:cs="宋体"/>
          <w:b w:val="0"/>
          <w:bCs w:val="0"/>
          <w:color w:val="000000"/>
          <w:spacing w:val="15"/>
          <w:kern w:val="0"/>
          <w:sz w:val="32"/>
          <w:szCs w:val="32"/>
          <w:lang w:val="en-US" w:eastAsia="zh-CN"/>
        </w:rPr>
        <w:t>是指行政单位（含参照公务员法管理事业单位）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项目支出绩效目标：</w:t>
      </w:r>
      <w:r>
        <w:rPr>
          <w:rFonts w:hint="eastAsia" w:ascii="仿宋_GB2312" w:hAnsi="宋体" w:eastAsia="仿宋_GB2312" w:cs="宋体"/>
          <w:b w:val="0"/>
          <w:bCs w:val="0"/>
          <w:color w:val="000000"/>
          <w:spacing w:val="15"/>
          <w:kern w:val="0"/>
          <w:sz w:val="32"/>
          <w:szCs w:val="32"/>
          <w:lang w:val="en-US" w:eastAsia="zh-CN"/>
        </w:rPr>
        <w:t>指区级预算部门或单位依据职责和事业发展要求，设立并通过预算安排的项目支出在一定期限内预期达到的产出和效果。</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部门（单位）整体支出绩效目标：</w:t>
      </w:r>
      <w:r>
        <w:rPr>
          <w:rFonts w:hint="eastAsia" w:ascii="仿宋_GB2312" w:hAnsi="宋体" w:eastAsia="仿宋_GB2312" w:cs="宋体"/>
          <w:b w:val="0"/>
          <w:bCs w:val="0"/>
          <w:color w:val="000000"/>
          <w:spacing w:val="15"/>
          <w:kern w:val="0"/>
          <w:sz w:val="32"/>
          <w:szCs w:val="32"/>
          <w:lang w:val="en-US" w:eastAsia="zh-CN"/>
        </w:rPr>
        <w:t>指区级预算部门或单位按照确定的职责，利用全部部门预算资金在一定期限内预期达到的总体产出和效果。</w:t>
      </w:r>
    </w:p>
    <w:p>
      <w:pPr>
        <w:keepNext w:val="0"/>
        <w:keepLines w:val="0"/>
        <w:pageBreakBefore w:val="0"/>
        <w:numPr>
          <w:ilvl w:val="0"/>
          <w:numId w:val="0"/>
        </w:numPr>
        <w:suppressAutoHyphens/>
        <w:kinsoku/>
        <w:wordWrap/>
        <w:overflowPunct/>
        <w:topLinePunct w:val="0"/>
        <w:autoSpaceDE/>
        <w:autoSpaceDN/>
        <w:bidi w:val="0"/>
        <w:adjustRightInd/>
        <w:snapToGrid/>
        <w:spacing w:line="600" w:lineRule="exact"/>
        <w:ind w:firstLine="703" w:firstLineChars="200"/>
        <w:textAlignment w:val="auto"/>
        <w:rPr>
          <w:rFonts w:hint="eastAsia" w:ascii="仿宋_GB2312" w:hAnsi="宋体" w:eastAsia="仿宋_GB2312" w:cs="宋体"/>
          <w:b w:val="0"/>
          <w:bCs w:val="0"/>
          <w:color w:val="000000"/>
          <w:spacing w:val="15"/>
          <w:kern w:val="0"/>
          <w:sz w:val="32"/>
          <w:szCs w:val="32"/>
          <w:lang w:val="en-US" w:eastAsia="zh-CN"/>
        </w:rPr>
      </w:pPr>
      <w:r>
        <w:rPr>
          <w:rFonts w:hint="eastAsia" w:ascii="仿宋_GB2312" w:hAnsi="宋体" w:eastAsia="仿宋_GB2312" w:cs="宋体"/>
          <w:b/>
          <w:bCs/>
          <w:color w:val="000000"/>
          <w:spacing w:val="15"/>
          <w:kern w:val="0"/>
          <w:sz w:val="32"/>
          <w:szCs w:val="32"/>
          <w:lang w:val="en-US" w:eastAsia="zh-CN"/>
        </w:rPr>
        <w:t>行政事业性收费:</w:t>
      </w:r>
      <w:r>
        <w:rPr>
          <w:rFonts w:hint="eastAsia" w:ascii="仿宋_GB2312" w:hAnsi="宋体" w:eastAsia="仿宋_GB2312" w:cs="宋体"/>
          <w:b w:val="0"/>
          <w:bCs w:val="0"/>
          <w:color w:val="000000"/>
          <w:spacing w:val="15"/>
          <w:kern w:val="0"/>
          <w:sz w:val="32"/>
          <w:szCs w:val="32"/>
          <w:lang w:val="en-US" w:eastAsia="zh-CN"/>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404040"/>
          <w:spacing w:val="0"/>
          <w:sz w:val="24"/>
          <w:szCs w:val="24"/>
          <w:u w:val="none"/>
        </w:rPr>
      </w:pPr>
      <w:r>
        <w:rPr>
          <w:rFonts w:hint="eastAsia" w:ascii="微软雅黑" w:hAnsi="微软雅黑" w:eastAsia="微软雅黑" w:cs="微软雅黑"/>
          <w:i w:val="0"/>
          <w:iCs w:val="0"/>
          <w:caps w:val="0"/>
          <w:color w:val="404040"/>
          <w:spacing w:val="0"/>
          <w:sz w:val="24"/>
          <w:szCs w:val="24"/>
          <w:u w:val="none"/>
          <w:shd w:val="clear" w:fill="FFFFFF"/>
        </w:rPr>
        <w:t> </w:t>
      </w:r>
    </w:p>
    <w:p>
      <w:pPr>
        <w:keepNext w:val="0"/>
        <w:keepLines w:val="0"/>
        <w:pageBreakBefore w:val="0"/>
        <w:widowControl/>
        <w:numPr>
          <w:ilvl w:val="0"/>
          <w:numId w:val="2"/>
        </w:numPr>
        <w:kinsoku/>
        <w:wordWrap/>
        <w:overflowPunct/>
        <w:topLinePunct w:val="0"/>
        <w:autoSpaceDE/>
        <w:autoSpaceDN/>
        <w:bidi w:val="0"/>
        <w:adjustRightInd w:val="0"/>
        <w:snapToGrid/>
        <w:spacing w:line="600" w:lineRule="exact"/>
        <w:ind w:firstLine="940" w:firstLineChars="200"/>
        <w:jc w:val="left"/>
        <w:textAlignment w:val="auto"/>
        <w:rPr>
          <w:rFonts w:hint="eastAsia" w:ascii="方正小标宋简体" w:hAnsi="方正小标宋简体" w:eastAsia="方正小标宋简体" w:cs="方正小标宋简体"/>
          <w:color w:val="000000"/>
          <w:spacing w:val="15"/>
          <w:kern w:val="0"/>
          <w:sz w:val="44"/>
          <w:szCs w:val="44"/>
          <w:lang w:val="en-US" w:eastAsia="zh-CN"/>
        </w:rPr>
      </w:pPr>
      <w:r>
        <w:rPr>
          <w:rFonts w:hint="eastAsia" w:ascii="方正小标宋简体" w:hAnsi="方正小标宋简体" w:eastAsia="方正小标宋简体" w:cs="方正小标宋简体"/>
          <w:color w:val="000000"/>
          <w:spacing w:val="15"/>
          <w:kern w:val="0"/>
          <w:sz w:val="44"/>
          <w:szCs w:val="44"/>
          <w:lang w:val="en-US" w:eastAsia="zh-CN"/>
        </w:rPr>
        <w:t>2025年部门预算报表</w:t>
      </w:r>
    </w:p>
    <w:p>
      <w:pPr>
        <w:keepNext w:val="0"/>
        <w:keepLines w:val="0"/>
        <w:pageBreakBefore w:val="0"/>
        <w:widowControl/>
        <w:numPr>
          <w:ilvl w:val="0"/>
          <w:numId w:val="0"/>
        </w:numPr>
        <w:kinsoku/>
        <w:wordWrap/>
        <w:overflowPunct/>
        <w:topLinePunct w:val="0"/>
        <w:autoSpaceDE/>
        <w:autoSpaceDN/>
        <w:bidi w:val="0"/>
        <w:adjustRightInd w:val="0"/>
        <w:snapToGrid/>
        <w:spacing w:line="600" w:lineRule="exact"/>
        <w:jc w:val="left"/>
        <w:textAlignment w:val="auto"/>
        <w:rPr>
          <w:rFonts w:hint="default" w:ascii="仿宋_GB2312" w:hAnsi="宋体" w:eastAsia="仿宋_GB2312" w:cs="宋体"/>
          <w:color w:val="000000"/>
          <w:spacing w:val="15"/>
          <w:kern w:val="0"/>
          <w:sz w:val="32"/>
          <w:szCs w:val="32"/>
          <w:lang w:val="en-US" w:eastAsia="zh-CN"/>
        </w:rPr>
      </w:pPr>
      <w:r>
        <w:rPr>
          <w:rFonts w:hint="eastAsia" w:ascii="仿宋_GB2312" w:hAnsi="宋体" w:eastAsia="仿宋_GB2312" w:cs="宋体"/>
          <w:color w:val="000000"/>
          <w:spacing w:val="15"/>
          <w:kern w:val="0"/>
          <w:sz w:val="32"/>
          <w:szCs w:val="32"/>
          <w:lang w:val="en-US" w:eastAsia="zh-CN"/>
        </w:rPr>
        <w:t xml:space="preserve">    附件：</w:t>
      </w:r>
      <w:bookmarkStart w:id="0" w:name="_GoBack"/>
      <w:r>
        <w:rPr>
          <w:rFonts w:hint="eastAsia" w:ascii="仿宋_GB2312" w:hAnsi="宋体" w:eastAsia="仿宋_GB2312" w:cs="宋体"/>
          <w:color w:val="000000"/>
          <w:spacing w:val="15"/>
          <w:kern w:val="0"/>
          <w:sz w:val="32"/>
          <w:szCs w:val="32"/>
          <w:lang w:val="en-US" w:eastAsia="zh-CN"/>
        </w:rPr>
        <w:t>北京市丰台区城市管理综合行政执法局2025年部门预算报表</w:t>
      </w:r>
      <w:bookmarkEnd w:id="0"/>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184D4"/>
    <w:multiLevelType w:val="singleLevel"/>
    <w:tmpl w:val="072184D4"/>
    <w:lvl w:ilvl="0" w:tentative="0">
      <w:start w:val="2"/>
      <w:numFmt w:val="chineseCounting"/>
      <w:suff w:val="space"/>
      <w:lvlText w:val="第%1部分"/>
      <w:lvlJc w:val="left"/>
      <w:rPr>
        <w:rFonts w:hint="eastAsia"/>
      </w:rPr>
    </w:lvl>
  </w:abstractNum>
  <w:abstractNum w:abstractNumId="1">
    <w:nsid w:val="1A385EE1"/>
    <w:multiLevelType w:val="singleLevel"/>
    <w:tmpl w:val="1A385EE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46F01"/>
    <w:rsid w:val="045C5985"/>
    <w:rsid w:val="0C4055C9"/>
    <w:rsid w:val="148C1B7E"/>
    <w:rsid w:val="248B089C"/>
    <w:rsid w:val="27E2664D"/>
    <w:rsid w:val="3DE23938"/>
    <w:rsid w:val="46914924"/>
    <w:rsid w:val="55EF3ADA"/>
    <w:rsid w:val="57D46F01"/>
    <w:rsid w:val="5FDF4AF3"/>
    <w:rsid w:val="FFF3B3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2025-01-22T13:20:00Z</dcterms:created>
  <dc:creator>L</dc:creator>
  <cp:lastModifiedBy>Administrator</cp:lastModifiedBy>
  <dcterms:modified xsi:type="dcterms:W3CDTF">2025-02-11T06:53:33Z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591047E3BF264B3F869043CFBEC781AC</vt:lpwstr>
  </property>
</Properties>
</file>